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76" w:rsidRPr="00C94BC2" w:rsidRDefault="00C94BC2" w:rsidP="00C94BC2">
      <w:pPr>
        <w:bidi/>
        <w:spacing w:after="0" w:line="240" w:lineRule="auto"/>
        <w:jc w:val="center"/>
        <w:rPr>
          <w:color w:val="984806" w:themeColor="accent6" w:themeShade="80"/>
          <w:rtl/>
          <w:lang w:bidi="ar-MA"/>
        </w:rPr>
      </w:pPr>
      <w:r w:rsidRPr="00C94BC2">
        <w:rPr>
          <w:rFonts w:hint="cs"/>
          <w:color w:val="984806" w:themeColor="accent6" w:themeShade="80"/>
          <w:rtl/>
          <w:lang w:bidi="ar-MA"/>
        </w:rPr>
        <w:t>المملكة المغربية</w:t>
      </w:r>
    </w:p>
    <w:p w:rsidR="00C94BC2" w:rsidRDefault="00095B3C" w:rsidP="00C94BC2">
      <w:pPr>
        <w:bidi/>
        <w:spacing w:after="0" w:line="240" w:lineRule="auto"/>
        <w:jc w:val="center"/>
        <w:rPr>
          <w:rtl/>
          <w:lang w:bidi="ar-MA"/>
        </w:rPr>
      </w:pPr>
      <w:r>
        <w:rPr>
          <w:rFonts w:cs="Arial"/>
          <w:noProof/>
          <w:rtl/>
        </w:rPr>
        <w:drawing>
          <wp:inline distT="0" distB="0" distL="0" distR="0">
            <wp:extent cx="647700" cy="502920"/>
            <wp:effectExtent l="19050" t="0" r="0" b="0"/>
            <wp:docPr id="2" name="Image 2" descr="C:\Users\PCRC3\Desktop\logos\Hcp-mar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RC3\Desktop\logos\Hcp-maroc.JPG"/>
                    <pic:cNvPicPr>
                      <a:picLocks noChangeAspect="1" noChangeArrowheads="1"/>
                    </pic:cNvPicPr>
                  </pic:nvPicPr>
                  <pic:blipFill>
                    <a:blip r:embed="rId7"/>
                    <a:srcRect/>
                    <a:stretch>
                      <a:fillRect/>
                    </a:stretch>
                  </pic:blipFill>
                  <pic:spPr bwMode="auto">
                    <a:xfrm>
                      <a:off x="0" y="0"/>
                      <a:ext cx="647700" cy="502920"/>
                    </a:xfrm>
                    <a:prstGeom prst="rect">
                      <a:avLst/>
                    </a:prstGeom>
                    <a:noFill/>
                    <a:ln w="9525">
                      <a:noFill/>
                      <a:miter lim="800000"/>
                      <a:headEnd/>
                      <a:tailEnd/>
                    </a:ln>
                  </pic:spPr>
                </pic:pic>
              </a:graphicData>
            </a:graphic>
          </wp:inline>
        </w:drawing>
      </w:r>
    </w:p>
    <w:p w:rsidR="00C94BC2" w:rsidRPr="00C94BC2" w:rsidRDefault="00C94BC2" w:rsidP="00C94BC2">
      <w:pPr>
        <w:bidi/>
        <w:spacing w:after="0" w:line="240" w:lineRule="auto"/>
        <w:jc w:val="center"/>
        <w:rPr>
          <w:color w:val="943634" w:themeColor="accent2" w:themeShade="BF"/>
          <w:rtl/>
          <w:lang w:bidi="ar-MA"/>
        </w:rPr>
      </w:pPr>
      <w:r w:rsidRPr="00C94BC2">
        <w:rPr>
          <w:rFonts w:hint="cs"/>
          <w:color w:val="943634" w:themeColor="accent2" w:themeShade="BF"/>
          <w:rtl/>
          <w:lang w:bidi="ar-MA"/>
        </w:rPr>
        <w:t>المندوبية السامية للتخطيط</w:t>
      </w:r>
    </w:p>
    <w:p w:rsidR="00C94BC2" w:rsidRPr="00C94BC2" w:rsidRDefault="00C94BC2" w:rsidP="00C94BC2">
      <w:pPr>
        <w:bidi/>
        <w:spacing w:after="0" w:line="240" w:lineRule="auto"/>
        <w:jc w:val="center"/>
        <w:rPr>
          <w:color w:val="E36C0A" w:themeColor="accent6" w:themeShade="BF"/>
          <w:rtl/>
          <w:lang w:bidi="ar-MA"/>
        </w:rPr>
      </w:pPr>
    </w:p>
    <w:p w:rsidR="00D24754" w:rsidRDefault="00D24754" w:rsidP="00D24754">
      <w:pPr>
        <w:widowControl w:val="0"/>
        <w:autoSpaceDE w:val="0"/>
        <w:autoSpaceDN w:val="0"/>
        <w:bidi/>
        <w:adjustRightInd w:val="0"/>
        <w:spacing w:line="330" w:lineRule="atLeast"/>
        <w:ind w:left="110" w:right="82" w:hanging="1"/>
        <w:jc w:val="center"/>
        <w:rPr>
          <w:rFonts w:ascii="Arial" w:hAnsi="Arial" w:cs="Arial"/>
          <w:b/>
          <w:bCs/>
          <w:color w:val="993265"/>
          <w:w w:val="99"/>
          <w:sz w:val="44"/>
          <w:szCs w:val="44"/>
          <w:rtl/>
        </w:rPr>
      </w:pPr>
    </w:p>
    <w:p w:rsidR="00D05CF9" w:rsidRPr="00D05CF9" w:rsidRDefault="00D05CF9" w:rsidP="00D05CF9">
      <w:pPr>
        <w:bidi/>
        <w:spacing w:after="0" w:line="240" w:lineRule="auto"/>
        <w:jc w:val="center"/>
        <w:rPr>
          <w:rStyle w:val="Emphaseintense"/>
          <w:rFonts w:asciiTheme="majorBidi" w:hAnsiTheme="majorBidi" w:cstheme="majorBidi"/>
          <w:color w:val="990033"/>
          <w:sz w:val="32"/>
          <w:szCs w:val="32"/>
          <w:rtl/>
        </w:rPr>
      </w:pPr>
      <w:r>
        <w:rPr>
          <w:rFonts w:cs="Arial"/>
          <w:noProof/>
          <w:rtl/>
        </w:rPr>
        <w:drawing>
          <wp:inline distT="0" distB="0" distL="0" distR="0">
            <wp:extent cx="6115050" cy="4328160"/>
            <wp:effectExtent l="38100" t="0" r="19050" b="1291590"/>
            <wp:docPr id="4" name="Image 2" descr="C:\Users\PCRC3\Desktop\logos\REGION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RC3\Desktop\logos\REGION 7.png"/>
                    <pic:cNvPicPr>
                      <a:picLocks noChangeAspect="1" noChangeArrowheads="1"/>
                    </pic:cNvPicPr>
                  </pic:nvPicPr>
                  <pic:blipFill>
                    <a:blip r:embed="rId8"/>
                    <a:srcRect/>
                    <a:stretch>
                      <a:fillRect/>
                    </a:stretch>
                  </pic:blipFill>
                  <pic:spPr bwMode="auto">
                    <a:xfrm>
                      <a:off x="0" y="0"/>
                      <a:ext cx="6115050" cy="43281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D05CF9">
        <w:rPr>
          <w:rStyle w:val="Emphaseintense"/>
          <w:rFonts w:asciiTheme="majorBidi" w:hAnsiTheme="majorBidi" w:cstheme="majorBidi"/>
          <w:color w:val="990033"/>
          <w:sz w:val="32"/>
          <w:szCs w:val="32"/>
          <w:rtl/>
        </w:rPr>
        <w:t>المديـريـة</w:t>
      </w:r>
      <w:r w:rsidRPr="00D05CF9">
        <w:rPr>
          <w:rStyle w:val="Emphaseintense"/>
          <w:rFonts w:asciiTheme="majorBidi" w:hAnsiTheme="majorBidi" w:cstheme="majorBidi"/>
          <w:color w:val="990033"/>
          <w:sz w:val="32"/>
          <w:szCs w:val="32"/>
        </w:rPr>
        <w:t xml:space="preserve"> </w:t>
      </w:r>
      <w:r w:rsidRPr="00D05CF9">
        <w:rPr>
          <w:rStyle w:val="Emphaseintense"/>
          <w:rFonts w:asciiTheme="majorBidi" w:hAnsiTheme="majorBidi" w:cstheme="majorBidi"/>
          <w:color w:val="990033"/>
          <w:sz w:val="32"/>
          <w:szCs w:val="32"/>
          <w:rtl/>
        </w:rPr>
        <w:t>الجـهوية</w:t>
      </w:r>
      <w:r w:rsidRPr="00D05CF9">
        <w:rPr>
          <w:rStyle w:val="Emphaseintense"/>
          <w:rFonts w:asciiTheme="majorBidi" w:hAnsiTheme="majorBidi" w:cstheme="majorBidi"/>
          <w:color w:val="990033"/>
          <w:sz w:val="32"/>
          <w:szCs w:val="32"/>
        </w:rPr>
        <w:t xml:space="preserve"> </w:t>
      </w:r>
      <w:r w:rsidRPr="00D05CF9">
        <w:rPr>
          <w:rStyle w:val="Emphaseintense"/>
          <w:rFonts w:asciiTheme="majorBidi" w:hAnsiTheme="majorBidi" w:cstheme="majorBidi"/>
          <w:color w:val="990033"/>
          <w:sz w:val="32"/>
          <w:szCs w:val="32"/>
          <w:rtl/>
        </w:rPr>
        <w:t xml:space="preserve">لمراكش ـ </w:t>
      </w:r>
      <w:r w:rsidRPr="00D05CF9">
        <w:rPr>
          <w:rStyle w:val="Emphaseintense"/>
          <w:rFonts w:asciiTheme="majorBidi" w:hAnsiTheme="majorBidi" w:cstheme="majorBidi" w:hint="cs"/>
          <w:color w:val="990033"/>
          <w:sz w:val="32"/>
          <w:szCs w:val="32"/>
          <w:rtl/>
        </w:rPr>
        <w:t>آسفي</w:t>
      </w:r>
    </w:p>
    <w:p w:rsidR="00C94BC2" w:rsidRPr="00D05CF9" w:rsidRDefault="00D05CF9" w:rsidP="00D05CF9">
      <w:pPr>
        <w:bidi/>
        <w:spacing w:after="0" w:line="240" w:lineRule="auto"/>
        <w:jc w:val="center"/>
        <w:rPr>
          <w:sz w:val="32"/>
          <w:szCs w:val="32"/>
          <w:rtl/>
          <w:lang w:bidi="ar-MA"/>
        </w:rPr>
      </w:pPr>
      <w:r w:rsidRPr="00D05CF9">
        <w:rPr>
          <w:rStyle w:val="Emphaseintense"/>
          <w:rFonts w:asciiTheme="majorBidi" w:hAnsiTheme="majorBidi" w:cstheme="majorBidi" w:hint="cs"/>
          <w:color w:val="990033"/>
          <w:sz w:val="32"/>
          <w:szCs w:val="32"/>
          <w:rtl/>
        </w:rPr>
        <w:t>أكتوبر 2018</w:t>
      </w:r>
    </w:p>
    <w:p w:rsidR="005E4B0F" w:rsidRDefault="005E4B0F" w:rsidP="005E4B0F">
      <w:pPr>
        <w:bidi/>
        <w:jc w:val="both"/>
        <w:rPr>
          <w:rFonts w:ascii="Simplified Arabic" w:hAnsi="Simplified Arabic" w:cs="Simplified Arabic"/>
          <w:sz w:val="25"/>
          <w:szCs w:val="25"/>
          <w:rtl/>
          <w:lang w:bidi="ar-MA"/>
        </w:rPr>
      </w:pPr>
    </w:p>
    <w:p w:rsidR="005E4B0F" w:rsidRPr="00AA294C" w:rsidRDefault="005E4B0F" w:rsidP="005E4B0F">
      <w:pPr>
        <w:pStyle w:val="Titre8"/>
        <w:bidi/>
        <w:jc w:val="center"/>
        <w:rPr>
          <w:rStyle w:val="Emphaseintense"/>
          <w:rFonts w:asciiTheme="majorBidi" w:hAnsiTheme="majorBidi" w:cstheme="majorBidi"/>
          <w:b w:val="0"/>
          <w:bCs w:val="0"/>
          <w:color w:val="990033"/>
        </w:rPr>
      </w:pPr>
    </w:p>
    <w:p w:rsidR="005E4B0F" w:rsidRPr="00055BC7" w:rsidRDefault="005E4B0F" w:rsidP="005E4B0F">
      <w:pPr>
        <w:spacing w:after="0"/>
        <w:jc w:val="center"/>
        <w:rPr>
          <w:rStyle w:val="Emphaseintense"/>
          <w:rFonts w:asciiTheme="majorBidi" w:hAnsiTheme="majorBidi" w:cstheme="majorBidi"/>
          <w:color w:val="E36C0A" w:themeColor="accent6" w:themeShade="BF"/>
          <w:sz w:val="24"/>
          <w:szCs w:val="24"/>
          <w:rtl/>
        </w:rPr>
      </w:pPr>
      <w:r w:rsidRPr="00055BC7">
        <w:rPr>
          <w:rStyle w:val="Emphaseintense"/>
          <w:rFonts w:asciiTheme="majorBidi" w:hAnsiTheme="majorBidi" w:cstheme="majorBidi"/>
          <w:color w:val="E36C0A" w:themeColor="accent6" w:themeShade="BF"/>
          <w:sz w:val="24"/>
          <w:szCs w:val="24"/>
        </w:rPr>
        <w:t>Avenue 11 Janvier B.P 2370 Marrakech / Tél : 0524.30.39.02/03 Fax : 0524.30.45.54</w:t>
      </w:r>
    </w:p>
    <w:p w:rsidR="00EF04A1" w:rsidRDefault="005E4B0F" w:rsidP="005E4B0F">
      <w:pPr>
        <w:tabs>
          <w:tab w:val="left" w:pos="2484"/>
          <w:tab w:val="center" w:pos="4536"/>
        </w:tabs>
        <w:bidi/>
        <w:spacing w:after="0"/>
        <w:rPr>
          <w:rFonts w:ascii="Simplified Arabic" w:hAnsi="Simplified Arabic" w:cs="Simplified Arabic"/>
          <w:sz w:val="25"/>
          <w:szCs w:val="25"/>
          <w:rtl/>
          <w:lang w:bidi="ar-MA"/>
        </w:rPr>
      </w:pPr>
      <w:r>
        <w:rPr>
          <w:rStyle w:val="Emphaseintense"/>
          <w:rFonts w:asciiTheme="majorBidi" w:hAnsiTheme="majorBidi" w:cstheme="majorBidi"/>
          <w:color w:val="990033"/>
          <w:sz w:val="24"/>
          <w:szCs w:val="24"/>
        </w:rPr>
        <w:tab/>
      </w:r>
      <w:r w:rsidRPr="00055BC7">
        <w:rPr>
          <w:rStyle w:val="Emphaseintense"/>
          <w:rFonts w:asciiTheme="majorBidi" w:hAnsiTheme="majorBidi" w:cstheme="majorBidi"/>
          <w:color w:val="990033"/>
          <w:sz w:val="24"/>
          <w:szCs w:val="24"/>
        </w:rPr>
        <w:t xml:space="preserve">Site :   </w:t>
      </w:r>
      <w:hyperlink r:id="rId9" w:history="1">
        <w:r w:rsidRPr="00055BC7">
          <w:rPr>
            <w:rStyle w:val="Emphaseintense"/>
            <w:rFonts w:asciiTheme="majorBidi" w:hAnsiTheme="majorBidi" w:cstheme="majorBidi"/>
            <w:color w:val="990033"/>
            <w:sz w:val="24"/>
            <w:szCs w:val="24"/>
          </w:rPr>
          <w:t>www.hcp.ma/region-marrakech</w:t>
        </w:r>
      </w:hyperlink>
    </w:p>
    <w:p w:rsidR="00A033D7" w:rsidRPr="00E56BE4" w:rsidRDefault="00D13B81" w:rsidP="005E4B0F">
      <w:pPr>
        <w:bidi/>
        <w:jc w:val="both"/>
        <w:rPr>
          <w:rFonts w:ascii="Times New Roman" w:eastAsia="Times New Roman" w:hAnsi="Times New Roman" w:cs="Times New Roman"/>
          <w:rtl/>
          <w:lang w:bidi="ar-MA"/>
        </w:rPr>
      </w:pPr>
      <w:r>
        <w:rPr>
          <w:rFonts w:ascii="Simplified Arabic" w:hAnsi="Simplified Arabic" w:cs="Simplified Arabic" w:hint="cs"/>
          <w:sz w:val="25"/>
          <w:szCs w:val="25"/>
          <w:rtl/>
          <w:lang w:bidi="ar-MA"/>
        </w:rPr>
        <w:lastRenderedPageBreak/>
        <w:tab/>
      </w:r>
      <w:r w:rsidR="00A033D7" w:rsidRPr="00E56BE4">
        <w:rPr>
          <w:rFonts w:ascii="Times New Roman" w:eastAsia="Times New Roman" w:hAnsi="Times New Roman" w:cs="Times New Roman"/>
          <w:rtl/>
          <w:lang w:bidi="ar-MA"/>
        </w:rPr>
        <w:t xml:space="preserve">عرف الاقتصاد الوطني سنة 2016 ، كما هو معلوم، تسجيل ناتج داخلي إجمالي قدره 999,1 مليار درهم بالحجم و1013,6 مليار درهم بالأسعار الجارية، محققا بذلك نموا بمعدل 1,1 </w:t>
      </w:r>
      <w:r w:rsidR="00A033D7" w:rsidRPr="00E56BE4">
        <w:rPr>
          <w:rFonts w:ascii="Times New Roman" w:eastAsia="Times New Roman" w:hAnsi="Times New Roman" w:cs="Times New Roman"/>
          <w:lang w:bidi="ar-MA"/>
        </w:rPr>
        <w:t>%</w:t>
      </w:r>
      <w:r w:rsidR="00A033D7" w:rsidRPr="00E56BE4">
        <w:rPr>
          <w:rFonts w:ascii="Times New Roman" w:eastAsia="Times New Roman" w:hAnsi="Times New Roman" w:cs="Times New Roman"/>
          <w:rtl/>
          <w:lang w:bidi="ar-MA"/>
        </w:rPr>
        <w:t xml:space="preserve"> وارتفاعا بالقيمة بنسبة 2,6 </w:t>
      </w:r>
      <w:r w:rsidR="00A033D7" w:rsidRPr="00E56BE4">
        <w:rPr>
          <w:rFonts w:ascii="Times New Roman" w:eastAsia="Times New Roman" w:hAnsi="Times New Roman" w:cs="Times New Roman"/>
          <w:lang w:bidi="ar-MA"/>
        </w:rPr>
        <w:t>%</w:t>
      </w:r>
      <w:r w:rsidR="00A033D7" w:rsidRPr="00E56BE4">
        <w:rPr>
          <w:rFonts w:ascii="Times New Roman" w:eastAsia="Times New Roman" w:hAnsi="Times New Roman" w:cs="Times New Roman"/>
          <w:rtl/>
          <w:lang w:bidi="ar-MA"/>
        </w:rPr>
        <w:t xml:space="preserve"> مقارنة مع سنة 2015. </w:t>
      </w:r>
    </w:p>
    <w:p w:rsidR="00A033D7" w:rsidRPr="00E56BE4" w:rsidRDefault="00E745E4" w:rsidP="005E4B0F">
      <w:pPr>
        <w:bidi/>
        <w:spacing w:before="240"/>
        <w:jc w:val="both"/>
        <w:rPr>
          <w:rFonts w:ascii="Times New Roman" w:eastAsia="Times New Roman" w:hAnsi="Times New Roman" w:cs="Times New Roman"/>
          <w:lang w:bidi="ar-MA"/>
        </w:rPr>
      </w:pPr>
      <w:r>
        <w:rPr>
          <w:rFonts w:ascii="Times New Roman" w:eastAsia="Times New Roman" w:hAnsi="Times New Roman" w:cs="Times New Roman" w:hint="cs"/>
          <w:rtl/>
          <w:lang w:bidi="ar-MA"/>
        </w:rPr>
        <w:tab/>
      </w:r>
      <w:r w:rsidR="00A033D7" w:rsidRPr="00E56BE4">
        <w:rPr>
          <w:rFonts w:ascii="Times New Roman" w:eastAsia="Times New Roman" w:hAnsi="Times New Roman" w:cs="Times New Roman"/>
          <w:rtl/>
          <w:lang w:bidi="ar-MA"/>
        </w:rPr>
        <w:t>ويعرض هذا التقرير توزيع الناتج الداخلي الإجمالي، بالحجم وبالقيمة، حسب مجموعات فروع الأنشطة الاقتصادية وكذا نفقات الاستهلاك النهائي للأسر، وذلك حسب الجهات.</w:t>
      </w:r>
    </w:p>
    <w:p w:rsidR="00A033D7" w:rsidRPr="00A033D7" w:rsidRDefault="00A033D7" w:rsidP="005E4B0F">
      <w:pPr>
        <w:bidi/>
        <w:spacing w:before="40" w:after="40"/>
        <w:jc w:val="both"/>
        <w:rPr>
          <w:rFonts w:ascii="Times New Roman" w:hAnsi="Times New Roman" w:cs="Times New Roman"/>
          <w:b/>
          <w:bCs/>
          <w:color w:val="C0504D" w:themeColor="accent2"/>
          <w:rtl/>
          <w:lang w:bidi="ar-MA"/>
        </w:rPr>
      </w:pPr>
      <w:r w:rsidRPr="00A033D7">
        <w:rPr>
          <w:rFonts w:ascii="Times New Roman" w:hAnsi="Times New Roman" w:cs="Times New Roman"/>
          <w:b/>
          <w:bCs/>
          <w:color w:val="C0504D" w:themeColor="accent2"/>
          <w:rtl/>
          <w:lang w:bidi="ar-MA"/>
        </w:rPr>
        <w:t>النمو الاقتصادي حسب الجهات</w:t>
      </w:r>
    </w:p>
    <w:p w:rsidR="00A033D7" w:rsidRPr="00A033D7" w:rsidRDefault="00770F13" w:rsidP="005E4B0F">
      <w:pPr>
        <w:bidi/>
        <w:spacing w:before="120" w:after="240"/>
        <w:jc w:val="both"/>
        <w:rPr>
          <w:rFonts w:ascii="Times New Roman" w:hAnsi="Times New Roman" w:cs="Times New Roman"/>
          <w:rtl/>
          <w:lang w:bidi="ar-MA"/>
        </w:rPr>
      </w:pPr>
      <w:r>
        <w:rPr>
          <w:rFonts w:ascii="Times New Roman" w:hAnsi="Times New Roman" w:cs="Times New Roman" w:hint="cs"/>
          <w:rtl/>
          <w:lang w:bidi="ar-MA"/>
        </w:rPr>
        <w:tab/>
      </w:r>
      <w:r w:rsidR="00A033D7" w:rsidRPr="00A033D7">
        <w:rPr>
          <w:rFonts w:ascii="Times New Roman" w:hAnsi="Times New Roman" w:cs="Times New Roman"/>
          <w:rtl/>
          <w:lang w:bidi="ar-MA"/>
        </w:rPr>
        <w:t xml:space="preserve">تظهر الحسابات الجهوية لسنة </w:t>
      </w:r>
      <w:r w:rsidR="00A033D7" w:rsidRPr="00A033D7">
        <w:rPr>
          <w:rFonts w:ascii="Times New Roman" w:hAnsi="Times New Roman" w:cs="Times New Roman"/>
          <w:lang w:bidi="ar-MA"/>
        </w:rPr>
        <w:t>2016</w:t>
      </w:r>
      <w:r w:rsidR="00A033D7" w:rsidRPr="00A033D7">
        <w:rPr>
          <w:rFonts w:ascii="Times New Roman" w:hAnsi="Times New Roman" w:cs="Times New Roman"/>
          <w:rtl/>
          <w:lang w:bidi="ar-MA"/>
        </w:rPr>
        <w:t xml:space="preserve"> تباين لمعدلات نمو الناتج الداخلي الإجمالي بالحجم بين الجهات. </w:t>
      </w:r>
    </w:p>
    <w:p w:rsidR="00A033D7" w:rsidRPr="00A033D7" w:rsidRDefault="00E745E4" w:rsidP="005E4B0F">
      <w:pPr>
        <w:pStyle w:val="Paragraphedeliste"/>
        <w:bidi/>
        <w:spacing w:before="120" w:after="120" w:line="276" w:lineRule="auto"/>
        <w:ind w:left="0"/>
        <w:contextualSpacing w:val="0"/>
        <w:jc w:val="both"/>
        <w:rPr>
          <w:sz w:val="22"/>
          <w:szCs w:val="22"/>
          <w:lang w:bidi="ar-MA"/>
        </w:rPr>
      </w:pPr>
      <w:r>
        <w:rPr>
          <w:rFonts w:hint="cs"/>
          <w:sz w:val="22"/>
          <w:szCs w:val="22"/>
          <w:rtl/>
          <w:lang w:bidi="ar-MA"/>
        </w:rPr>
        <w:tab/>
      </w:r>
      <w:r w:rsidR="00770F13">
        <w:rPr>
          <w:rFonts w:hint="cs"/>
          <w:sz w:val="22"/>
          <w:szCs w:val="22"/>
          <w:rtl/>
          <w:lang w:bidi="ar-MA"/>
        </w:rPr>
        <w:t xml:space="preserve">سجلت بعض جهات المملكة، بما فيها جهة مراكش-أسفي، </w:t>
      </w:r>
      <w:r w:rsidR="00A033D7" w:rsidRPr="00A033D7">
        <w:rPr>
          <w:sz w:val="22"/>
          <w:szCs w:val="22"/>
          <w:rtl/>
          <w:lang w:bidi="ar-MA"/>
        </w:rPr>
        <w:t xml:space="preserve">معدلات نمو أقل من المعدل الوطني والتي تراوحت بين 1 </w:t>
      </w:r>
      <w:r w:rsidR="00A033D7" w:rsidRPr="00A033D7">
        <w:rPr>
          <w:sz w:val="22"/>
          <w:szCs w:val="22"/>
          <w:lang w:bidi="ar-MA"/>
        </w:rPr>
        <w:t>%</w:t>
      </w:r>
      <w:r w:rsidR="00A033D7" w:rsidRPr="00A033D7">
        <w:rPr>
          <w:sz w:val="22"/>
          <w:szCs w:val="22"/>
          <w:rtl/>
          <w:lang w:bidi="ar-MA"/>
        </w:rPr>
        <w:t xml:space="preserve"> (جهة الرباط- سلا- القنيطرة) و</w:t>
      </w:r>
      <w:r w:rsidR="00A033D7" w:rsidRPr="00A033D7">
        <w:rPr>
          <w:sz w:val="22"/>
          <w:szCs w:val="22"/>
          <w:lang w:bidi="ar-MA"/>
        </w:rPr>
        <w:t xml:space="preserve">%-2,2  </w:t>
      </w:r>
      <w:r w:rsidR="00A033D7" w:rsidRPr="00A033D7">
        <w:rPr>
          <w:sz w:val="22"/>
          <w:szCs w:val="22"/>
          <w:rtl/>
          <w:lang w:bidi="ar-MA"/>
        </w:rPr>
        <w:t xml:space="preserve">  (جهة بني ملال- خنيفرة).</w:t>
      </w:r>
    </w:p>
    <w:p w:rsidR="00A033D7" w:rsidRPr="00A033D7" w:rsidRDefault="00E745E4" w:rsidP="005E4B0F">
      <w:pPr>
        <w:pStyle w:val="Paragraphedeliste"/>
        <w:bidi/>
        <w:spacing w:before="240" w:after="240" w:line="276" w:lineRule="auto"/>
        <w:ind w:left="0"/>
        <w:contextualSpacing w:val="0"/>
        <w:jc w:val="both"/>
        <w:rPr>
          <w:sz w:val="22"/>
          <w:szCs w:val="22"/>
          <w:rtl/>
          <w:lang w:bidi="ar-MA"/>
        </w:rPr>
      </w:pPr>
      <w:r>
        <w:rPr>
          <w:rFonts w:hint="cs"/>
          <w:sz w:val="22"/>
          <w:szCs w:val="22"/>
          <w:rtl/>
          <w:lang w:bidi="ar-MA"/>
        </w:rPr>
        <w:tab/>
      </w:r>
      <w:r w:rsidR="00770F13">
        <w:rPr>
          <w:rFonts w:hint="cs"/>
          <w:sz w:val="22"/>
          <w:szCs w:val="22"/>
          <w:rtl/>
          <w:lang w:bidi="ar-MA"/>
        </w:rPr>
        <w:t xml:space="preserve">كما سجلت جهة مراكش-أسفي بمعية ثمان جهات </w:t>
      </w:r>
      <w:r w:rsidR="00A033D7" w:rsidRPr="00A033D7">
        <w:rPr>
          <w:sz w:val="22"/>
          <w:szCs w:val="22"/>
          <w:rtl/>
          <w:lang w:bidi="ar-MA"/>
        </w:rPr>
        <w:t xml:space="preserve">28,6 </w:t>
      </w:r>
      <w:r w:rsidR="00A033D7" w:rsidRPr="00A033D7">
        <w:rPr>
          <w:sz w:val="22"/>
          <w:szCs w:val="22"/>
          <w:lang w:bidi="ar-MA"/>
        </w:rPr>
        <w:t>%</w:t>
      </w:r>
      <w:r w:rsidR="00A033D7" w:rsidRPr="00A033D7">
        <w:rPr>
          <w:sz w:val="22"/>
          <w:szCs w:val="22"/>
          <w:rtl/>
          <w:lang w:bidi="ar-MA"/>
        </w:rPr>
        <w:t xml:space="preserve"> من نسبة النمو الذي سجله الاقتصاد الوطني سنة 2016 أي ما يعادل 0,2 نقطة. </w:t>
      </w:r>
    </w:p>
    <w:p w:rsidR="00A033D7" w:rsidRPr="00A033D7" w:rsidRDefault="00A033D7" w:rsidP="00A033D7">
      <w:pPr>
        <w:pStyle w:val="Paragraphedeliste"/>
        <w:bidi/>
        <w:spacing w:before="120" w:after="120" w:line="276" w:lineRule="auto"/>
        <w:ind w:left="0"/>
        <w:contextualSpacing w:val="0"/>
        <w:jc w:val="center"/>
        <w:rPr>
          <w:sz w:val="22"/>
          <w:szCs w:val="22"/>
          <w:rtl/>
          <w:lang w:bidi="ar-MA"/>
        </w:rPr>
      </w:pPr>
      <w:r w:rsidRPr="00A033D7">
        <w:rPr>
          <w:noProof/>
          <w:sz w:val="22"/>
          <w:szCs w:val="22"/>
          <w:rtl/>
        </w:rPr>
        <w:drawing>
          <wp:inline distT="0" distB="0" distL="0" distR="0">
            <wp:extent cx="6054090" cy="3299460"/>
            <wp:effectExtent l="19050" t="0" r="22860" b="0"/>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6BE4" w:rsidRDefault="00E56BE4" w:rsidP="00A033D7">
      <w:pPr>
        <w:bidi/>
        <w:jc w:val="both"/>
        <w:rPr>
          <w:rFonts w:ascii="Times New Roman" w:hAnsi="Times New Roman" w:cs="Times New Roman"/>
          <w:b/>
          <w:bCs/>
          <w:color w:val="C0504D" w:themeColor="accent2"/>
          <w:rtl/>
          <w:lang w:bidi="ar-MA"/>
        </w:rPr>
      </w:pPr>
    </w:p>
    <w:p w:rsidR="00A033D7" w:rsidRPr="00A033D7" w:rsidRDefault="00A033D7" w:rsidP="00E56BE4">
      <w:pPr>
        <w:bidi/>
        <w:jc w:val="both"/>
        <w:rPr>
          <w:rFonts w:ascii="Times New Roman" w:hAnsi="Times New Roman" w:cs="Times New Roman"/>
          <w:color w:val="C0504D" w:themeColor="accent2"/>
          <w:rtl/>
        </w:rPr>
      </w:pPr>
      <w:r w:rsidRPr="00A033D7">
        <w:rPr>
          <w:rFonts w:ascii="Times New Roman" w:hAnsi="Times New Roman" w:cs="Times New Roman"/>
          <w:b/>
          <w:bCs/>
          <w:color w:val="C0504D" w:themeColor="accent2"/>
          <w:rtl/>
          <w:lang w:bidi="ar-MA"/>
        </w:rPr>
        <w:t>مساهمة الجهات في خلق الناتج الداخلي الإجمالي</w:t>
      </w:r>
    </w:p>
    <w:p w:rsidR="00A033D7" w:rsidRPr="00A033D7" w:rsidRDefault="00E745E4" w:rsidP="00E56BE4">
      <w:pPr>
        <w:pStyle w:val="Paragraphedeliste"/>
        <w:bidi/>
        <w:spacing w:before="120" w:after="120" w:line="276" w:lineRule="auto"/>
        <w:ind w:left="0"/>
        <w:contextualSpacing w:val="0"/>
        <w:jc w:val="both"/>
        <w:rPr>
          <w:sz w:val="22"/>
          <w:szCs w:val="22"/>
          <w:rtl/>
          <w:lang w:bidi="ar-MA"/>
        </w:rPr>
      </w:pPr>
      <w:r>
        <w:rPr>
          <w:rFonts w:hint="cs"/>
          <w:sz w:val="22"/>
          <w:szCs w:val="22"/>
          <w:rtl/>
          <w:lang w:bidi="ar-MA"/>
        </w:rPr>
        <w:tab/>
      </w:r>
      <w:r w:rsidR="00A033D7" w:rsidRPr="00A033D7">
        <w:rPr>
          <w:sz w:val="22"/>
          <w:szCs w:val="22"/>
          <w:rtl/>
          <w:lang w:bidi="ar-MA"/>
        </w:rPr>
        <w:t xml:space="preserve">ساهمت أربع جهات ب 30,1 </w:t>
      </w:r>
      <w:r w:rsidR="00A033D7" w:rsidRPr="00A033D7">
        <w:rPr>
          <w:sz w:val="22"/>
          <w:szCs w:val="22"/>
          <w:lang w:bidi="ar-MA"/>
        </w:rPr>
        <w:t>%</w:t>
      </w:r>
      <w:r w:rsidR="00A033D7" w:rsidRPr="00A033D7">
        <w:rPr>
          <w:sz w:val="22"/>
          <w:szCs w:val="22"/>
          <w:rtl/>
          <w:lang w:bidi="ar-MA"/>
        </w:rPr>
        <w:t xml:space="preserve"> من الناتج الداخلي الإجمالي. ويتعلق الأمر بكل من جهة فاس-مكناس بنسبة 9 </w:t>
      </w:r>
      <w:r w:rsidR="00A033D7" w:rsidRPr="00A033D7">
        <w:rPr>
          <w:sz w:val="22"/>
          <w:szCs w:val="22"/>
          <w:lang w:bidi="ar-MA"/>
        </w:rPr>
        <w:t>%</w:t>
      </w:r>
      <w:r w:rsidR="00A033D7" w:rsidRPr="00A033D7">
        <w:rPr>
          <w:sz w:val="22"/>
          <w:szCs w:val="22"/>
          <w:rtl/>
          <w:lang w:bidi="ar-MA"/>
        </w:rPr>
        <w:t xml:space="preserve"> وجهة مراكش-آسفي بنسبة 8,8</w:t>
      </w:r>
      <w:r w:rsidR="00A033D7" w:rsidRPr="00A033D7">
        <w:rPr>
          <w:sz w:val="22"/>
          <w:szCs w:val="22"/>
          <w:lang w:bidi="ar-MA"/>
        </w:rPr>
        <w:t>%</w:t>
      </w:r>
      <w:r w:rsidR="00A033D7" w:rsidRPr="00A033D7">
        <w:rPr>
          <w:sz w:val="22"/>
          <w:szCs w:val="22"/>
          <w:rtl/>
          <w:lang w:bidi="ar-MA"/>
        </w:rPr>
        <w:t xml:space="preserve"> وجهة سوس-ماسة بنسبة 6,7</w:t>
      </w:r>
      <w:r w:rsidR="00A033D7" w:rsidRPr="00A033D7">
        <w:rPr>
          <w:sz w:val="22"/>
          <w:szCs w:val="22"/>
          <w:lang w:bidi="ar-MA"/>
        </w:rPr>
        <w:t>%</w:t>
      </w:r>
      <w:r w:rsidR="00A033D7" w:rsidRPr="00A033D7">
        <w:rPr>
          <w:sz w:val="22"/>
          <w:szCs w:val="22"/>
          <w:rtl/>
          <w:lang w:bidi="ar-MA"/>
        </w:rPr>
        <w:t xml:space="preserve"> وجهة بني ملال-خنيفرة بنسبة 5,6</w:t>
      </w:r>
      <w:r w:rsidR="00A033D7" w:rsidRPr="00A033D7">
        <w:rPr>
          <w:sz w:val="22"/>
          <w:szCs w:val="22"/>
          <w:lang w:bidi="ar-MA"/>
        </w:rPr>
        <w:t>%</w:t>
      </w:r>
      <w:r w:rsidR="00A033D7" w:rsidRPr="00A033D7">
        <w:rPr>
          <w:sz w:val="22"/>
          <w:szCs w:val="22"/>
          <w:rtl/>
          <w:lang w:bidi="ar-MA"/>
        </w:rPr>
        <w:t>.</w:t>
      </w:r>
    </w:p>
    <w:p w:rsidR="00A033D7" w:rsidRPr="00A033D7" w:rsidRDefault="00E745E4" w:rsidP="00E56BE4">
      <w:pPr>
        <w:bidi/>
        <w:spacing w:before="120" w:after="120"/>
        <w:jc w:val="both"/>
        <w:rPr>
          <w:rFonts w:ascii="Times New Roman" w:hAnsi="Times New Roman" w:cs="Times New Roman"/>
          <w:rtl/>
          <w:lang w:bidi="ar-MA"/>
        </w:rPr>
      </w:pPr>
      <w:r>
        <w:rPr>
          <w:rFonts w:ascii="Times New Roman" w:hAnsi="Times New Roman" w:cs="Times New Roman" w:hint="cs"/>
          <w:rtl/>
          <w:lang w:bidi="ar-MA"/>
        </w:rPr>
        <w:tab/>
      </w:r>
      <w:r w:rsidR="00770F13">
        <w:rPr>
          <w:rFonts w:ascii="Times New Roman" w:hAnsi="Times New Roman" w:cs="Times New Roman" w:hint="cs"/>
          <w:rtl/>
          <w:lang w:bidi="ar-MA"/>
        </w:rPr>
        <w:t xml:space="preserve">و </w:t>
      </w:r>
      <w:r w:rsidR="00A033D7" w:rsidRPr="00A033D7">
        <w:rPr>
          <w:rFonts w:ascii="Times New Roman" w:hAnsi="Times New Roman" w:cs="Times New Roman"/>
          <w:rtl/>
          <w:lang w:bidi="ar-MA"/>
        </w:rPr>
        <w:t>في ظل هذه الشروط، ازدادت حدة الفوارق بين الجهات من حيث خلق الثروات، حيث انتقل متوسط الفارق المطلق بين الناتج الداخلي الإجمالي لمختلف الجهات ومتوسط الناتج الداخلي الإجمالي الجهوي من 56,8 مليار درهم سنة 2015 إلى 58,1 مليار درهم سنة 2016.</w:t>
      </w:r>
    </w:p>
    <w:p w:rsidR="00A033D7" w:rsidRPr="00A033D7" w:rsidRDefault="00A033D7" w:rsidP="00E56BE4">
      <w:pPr>
        <w:bidi/>
        <w:spacing w:before="240"/>
        <w:rPr>
          <w:rFonts w:ascii="Times New Roman" w:hAnsi="Times New Roman" w:cs="Times New Roman"/>
          <w:b/>
          <w:bCs/>
          <w:color w:val="C0504D" w:themeColor="accent2"/>
          <w:rtl/>
          <w:lang w:bidi="ar-MA"/>
        </w:rPr>
      </w:pPr>
      <w:r w:rsidRPr="00A033D7">
        <w:rPr>
          <w:rFonts w:ascii="Times New Roman" w:hAnsi="Times New Roman" w:cs="Times New Roman"/>
          <w:b/>
          <w:bCs/>
          <w:color w:val="C0504D" w:themeColor="accent2"/>
          <w:rtl/>
          <w:lang w:bidi="ar-MA"/>
        </w:rPr>
        <w:t xml:space="preserve">الناتج الداخلي الإجمالي الجهوي حسب قطاعات الأنشطة الاقتصادية </w:t>
      </w:r>
    </w:p>
    <w:p w:rsidR="00A033D7" w:rsidRPr="00A033D7" w:rsidRDefault="00E745E4" w:rsidP="00E56BE4">
      <w:pPr>
        <w:bidi/>
        <w:spacing w:before="240" w:after="120"/>
        <w:jc w:val="both"/>
        <w:rPr>
          <w:rFonts w:ascii="Times New Roman" w:hAnsi="Times New Roman" w:cs="Times New Roman"/>
          <w:rtl/>
          <w:lang w:bidi="ar-MA"/>
        </w:rPr>
      </w:pPr>
      <w:r>
        <w:rPr>
          <w:rFonts w:ascii="Times New Roman" w:hAnsi="Times New Roman" w:cs="Times New Roman" w:hint="cs"/>
          <w:rtl/>
          <w:lang w:bidi="ar-MA"/>
        </w:rPr>
        <w:tab/>
      </w:r>
      <w:r w:rsidR="00A033D7" w:rsidRPr="00A033D7">
        <w:rPr>
          <w:rFonts w:ascii="Times New Roman" w:hAnsi="Times New Roman" w:cs="Times New Roman"/>
          <w:rtl/>
          <w:lang w:bidi="ar-MA"/>
        </w:rPr>
        <w:t>تشكل أنشطة القطاع الأولي (الفلاحة والصيد) 12</w:t>
      </w:r>
      <w:r w:rsidR="00A033D7" w:rsidRPr="00A033D7">
        <w:rPr>
          <w:rFonts w:ascii="Times New Roman" w:hAnsi="Times New Roman" w:cs="Times New Roman"/>
          <w:lang w:bidi="ar-MA"/>
        </w:rPr>
        <w:t>%</w:t>
      </w:r>
      <w:r w:rsidR="00A033D7" w:rsidRPr="00A033D7">
        <w:rPr>
          <w:rFonts w:ascii="Times New Roman" w:hAnsi="Times New Roman" w:cs="Times New Roman"/>
          <w:rtl/>
          <w:lang w:bidi="ar-MA"/>
        </w:rPr>
        <w:t xml:space="preserve"> من الناتج الداخلي الإجمالي على المستوى الوطني سنة 2016. إلا أن مساهمة هذا القطاع تجاوزت هذا المعدل الوطني في معظم الجهات. </w:t>
      </w:r>
    </w:p>
    <w:p w:rsidR="00770F13" w:rsidRDefault="00E745E4" w:rsidP="00E56BE4">
      <w:pPr>
        <w:bidi/>
        <w:spacing w:after="120"/>
        <w:jc w:val="both"/>
        <w:rPr>
          <w:rFonts w:ascii="Times New Roman" w:hAnsi="Times New Roman" w:cs="Times New Roman"/>
          <w:rtl/>
          <w:lang w:bidi="ar-MA"/>
        </w:rPr>
      </w:pPr>
      <w:r>
        <w:rPr>
          <w:rFonts w:ascii="Times New Roman" w:hAnsi="Times New Roman" w:cs="Times New Roman" w:hint="cs"/>
          <w:rtl/>
          <w:lang w:bidi="ar-MA"/>
        </w:rPr>
        <w:lastRenderedPageBreak/>
        <w:tab/>
      </w:r>
      <w:r w:rsidR="00A033D7" w:rsidRPr="00A033D7">
        <w:rPr>
          <w:rFonts w:ascii="Times New Roman" w:hAnsi="Times New Roman" w:cs="Times New Roman"/>
          <w:rtl/>
          <w:lang w:bidi="ar-MA"/>
        </w:rPr>
        <w:t xml:space="preserve">تمثل الأنشطة الثانوية (الصناعة، المعادن، الكهرباء والماء والبناء والأشغال العمومية) 26 </w:t>
      </w:r>
      <w:r w:rsidR="00A033D7" w:rsidRPr="00A033D7">
        <w:rPr>
          <w:rFonts w:ascii="Times New Roman" w:hAnsi="Times New Roman" w:cs="Times New Roman"/>
          <w:lang w:bidi="ar-MA"/>
        </w:rPr>
        <w:t>%</w:t>
      </w:r>
      <w:r w:rsidR="00A033D7" w:rsidRPr="00A033D7">
        <w:rPr>
          <w:rFonts w:ascii="Times New Roman" w:hAnsi="Times New Roman" w:cs="Times New Roman"/>
          <w:rtl/>
          <w:lang w:bidi="ar-MA"/>
        </w:rPr>
        <w:t xml:space="preserve"> في الناتج الداخلي الإجمالي على المستوى الوطني سنة 2016. </w:t>
      </w:r>
    </w:p>
    <w:p w:rsidR="00A033D7" w:rsidRPr="00A033D7" w:rsidRDefault="00E745E4" w:rsidP="00E56BE4">
      <w:pPr>
        <w:bidi/>
        <w:spacing w:after="120"/>
        <w:jc w:val="both"/>
        <w:rPr>
          <w:rFonts w:ascii="Times New Roman" w:hAnsi="Times New Roman" w:cs="Times New Roman"/>
          <w:rtl/>
          <w:lang w:bidi="ar-MA"/>
        </w:rPr>
      </w:pPr>
      <w:r>
        <w:rPr>
          <w:rFonts w:ascii="Times New Roman" w:hAnsi="Times New Roman" w:cs="Times New Roman" w:hint="cs"/>
          <w:rtl/>
          <w:lang w:bidi="ar-MA"/>
        </w:rPr>
        <w:tab/>
      </w:r>
      <w:r w:rsidR="00A033D7" w:rsidRPr="00A033D7">
        <w:rPr>
          <w:rFonts w:ascii="Times New Roman" w:hAnsi="Times New Roman" w:cs="Times New Roman"/>
          <w:rtl/>
          <w:lang w:bidi="ar-MA"/>
        </w:rPr>
        <w:t xml:space="preserve">ساهمت أنشطة القطاع الثالثي (الخدمات التجارية وغير التجارية) بما يعادل 50,3 </w:t>
      </w:r>
      <w:r w:rsidR="00A033D7" w:rsidRPr="00A033D7">
        <w:rPr>
          <w:rFonts w:ascii="Times New Roman" w:hAnsi="Times New Roman" w:cs="Times New Roman"/>
          <w:lang w:bidi="ar-MA"/>
        </w:rPr>
        <w:t>%</w:t>
      </w:r>
      <w:r w:rsidR="00A033D7" w:rsidRPr="00A033D7">
        <w:rPr>
          <w:rFonts w:ascii="Times New Roman" w:hAnsi="Times New Roman" w:cs="Times New Roman"/>
          <w:rtl/>
          <w:lang w:bidi="ar-MA"/>
        </w:rPr>
        <w:t xml:space="preserve"> في الثروة الوطنية سنة 2016. </w:t>
      </w:r>
    </w:p>
    <w:p w:rsidR="00A033D7" w:rsidRPr="00A033D7" w:rsidRDefault="00A033D7" w:rsidP="00A033D7">
      <w:pPr>
        <w:bidi/>
        <w:spacing w:before="240" w:after="80"/>
        <w:ind w:right="170"/>
        <w:jc w:val="both"/>
        <w:rPr>
          <w:rFonts w:ascii="Times New Roman" w:hAnsi="Times New Roman" w:cs="Times New Roman"/>
          <w:b/>
          <w:bCs/>
          <w:color w:val="C0504D" w:themeColor="accent2"/>
          <w:rtl/>
          <w:lang w:bidi="ar-MA"/>
        </w:rPr>
      </w:pPr>
      <w:r w:rsidRPr="00A033D7">
        <w:rPr>
          <w:rFonts w:ascii="Times New Roman" w:hAnsi="Times New Roman" w:cs="Times New Roman"/>
          <w:b/>
          <w:bCs/>
          <w:color w:val="C0504D" w:themeColor="accent2"/>
          <w:rtl/>
          <w:lang w:bidi="ar-MA"/>
        </w:rPr>
        <w:t>مساهمة الجهات في الأنشطة الاقتصادية الوطنية</w:t>
      </w:r>
    </w:p>
    <w:p w:rsidR="00A033D7" w:rsidRPr="00A033D7" w:rsidRDefault="00E745E4" w:rsidP="00E56BE4">
      <w:pPr>
        <w:bidi/>
        <w:spacing w:before="240"/>
        <w:jc w:val="both"/>
        <w:rPr>
          <w:rFonts w:ascii="Times New Roman" w:hAnsi="Times New Roman" w:cs="Times New Roman"/>
          <w:rtl/>
          <w:lang w:bidi="ar-MA"/>
        </w:rPr>
      </w:pPr>
      <w:r>
        <w:rPr>
          <w:rFonts w:ascii="Times New Roman" w:hAnsi="Times New Roman" w:cs="Times New Roman" w:hint="cs"/>
          <w:rtl/>
          <w:lang w:bidi="ar-MA"/>
        </w:rPr>
        <w:tab/>
      </w:r>
      <w:r w:rsidR="00A033D7" w:rsidRPr="00A033D7">
        <w:rPr>
          <w:rFonts w:ascii="Times New Roman" w:hAnsi="Times New Roman" w:cs="Times New Roman"/>
          <w:rtl/>
          <w:lang w:bidi="ar-MA"/>
        </w:rPr>
        <w:t xml:space="preserve">تظل أنشطة القطاع الأولي ممركزة في عدد محدود من الجهات. وهكذا ساهمت جهات الرباط-سلا–القنيطرة، فاس-مكناس، الدار البيضاء-سطات ، سوس-ماسة ومراكش-آسفي بنسبة 67 </w:t>
      </w:r>
      <w:r w:rsidR="00A033D7" w:rsidRPr="00A033D7">
        <w:rPr>
          <w:rFonts w:ascii="Times New Roman" w:hAnsi="Times New Roman" w:cs="Times New Roman"/>
          <w:lang w:bidi="ar-MA"/>
        </w:rPr>
        <w:t>%</w:t>
      </w:r>
      <w:r w:rsidR="00A033D7" w:rsidRPr="00A033D7">
        <w:rPr>
          <w:rFonts w:ascii="Times New Roman" w:hAnsi="Times New Roman" w:cs="Times New Roman"/>
          <w:rtl/>
          <w:lang w:bidi="ar-MA"/>
        </w:rPr>
        <w:t xml:space="preserve"> في خلق القيمة المضافة الوطنية للقطاع الأولي في سنة 2016 عوض 68,5 </w:t>
      </w:r>
      <w:r w:rsidR="00A033D7" w:rsidRPr="00A033D7">
        <w:rPr>
          <w:rFonts w:ascii="Times New Roman" w:hAnsi="Times New Roman" w:cs="Times New Roman"/>
          <w:lang w:bidi="ar-MA"/>
        </w:rPr>
        <w:t>%</w:t>
      </w:r>
      <w:r w:rsidR="00A033D7" w:rsidRPr="00A033D7">
        <w:rPr>
          <w:rFonts w:ascii="Times New Roman" w:hAnsi="Times New Roman" w:cs="Times New Roman"/>
          <w:rtl/>
          <w:lang w:bidi="ar-MA"/>
        </w:rPr>
        <w:t xml:space="preserve"> سنة 2015.</w:t>
      </w:r>
    </w:p>
    <w:p w:rsidR="00A033D7" w:rsidRPr="00A033D7" w:rsidRDefault="00A033D7" w:rsidP="00A033D7">
      <w:pPr>
        <w:bidi/>
        <w:spacing w:before="240" w:after="100" w:afterAutospacing="1"/>
        <w:ind w:right="425"/>
        <w:jc w:val="both"/>
        <w:rPr>
          <w:rFonts w:ascii="Times New Roman" w:hAnsi="Times New Roman" w:cs="Times New Roman"/>
          <w:b/>
          <w:bCs/>
          <w:color w:val="C0504D" w:themeColor="accent2"/>
          <w:rtl/>
          <w:lang w:bidi="ar-MA"/>
        </w:rPr>
      </w:pPr>
      <w:r w:rsidRPr="00A033D7">
        <w:rPr>
          <w:rFonts w:ascii="Times New Roman" w:hAnsi="Times New Roman" w:cs="Times New Roman"/>
          <w:b/>
          <w:bCs/>
          <w:color w:val="C0504D" w:themeColor="accent2"/>
          <w:rtl/>
          <w:lang w:bidi="ar-MA"/>
        </w:rPr>
        <w:t>الناتج الداخلي الإجمالي الجهوي حسب الفرد</w:t>
      </w:r>
    </w:p>
    <w:p w:rsidR="000B6807" w:rsidRDefault="00E745E4" w:rsidP="00E56BE4">
      <w:pPr>
        <w:bidi/>
        <w:spacing w:after="120"/>
        <w:jc w:val="both"/>
        <w:rPr>
          <w:rFonts w:ascii="Times New Roman" w:hAnsi="Times New Roman" w:cs="Times New Roman"/>
          <w:rtl/>
          <w:lang w:bidi="ar-MA"/>
        </w:rPr>
      </w:pPr>
      <w:r>
        <w:rPr>
          <w:rFonts w:ascii="Times New Roman" w:hAnsi="Times New Roman" w:cs="Times New Roman" w:hint="cs"/>
          <w:rtl/>
          <w:lang w:bidi="ar-MA"/>
        </w:rPr>
        <w:tab/>
      </w:r>
      <w:r w:rsidR="00A033D7" w:rsidRPr="00A033D7">
        <w:rPr>
          <w:rFonts w:ascii="Times New Roman" w:hAnsi="Times New Roman" w:cs="Times New Roman"/>
          <w:rtl/>
          <w:lang w:bidi="ar-MA"/>
        </w:rPr>
        <w:t xml:space="preserve">على الصعيد االوطني،  بلغ الناتج الداخلي الإجمالي حسب الفرد، سنة 2016،  29390 درهم. </w:t>
      </w:r>
    </w:p>
    <w:p w:rsidR="00A033D7" w:rsidRPr="00A033D7" w:rsidRDefault="00E745E4" w:rsidP="00E56BE4">
      <w:pPr>
        <w:bidi/>
        <w:spacing w:after="120"/>
        <w:jc w:val="both"/>
        <w:rPr>
          <w:rFonts w:ascii="Times New Roman" w:hAnsi="Times New Roman" w:cs="Times New Roman"/>
          <w:lang w:bidi="ar-MA"/>
        </w:rPr>
      </w:pPr>
      <w:r>
        <w:rPr>
          <w:rFonts w:ascii="Times New Roman" w:hAnsi="Times New Roman" w:cs="Times New Roman" w:hint="cs"/>
          <w:rtl/>
          <w:lang w:bidi="ar-MA"/>
        </w:rPr>
        <w:tab/>
      </w:r>
      <w:r w:rsidR="00A033D7" w:rsidRPr="00A033D7">
        <w:rPr>
          <w:rFonts w:ascii="Times New Roman" w:hAnsi="Times New Roman" w:cs="Times New Roman"/>
          <w:rtl/>
          <w:lang w:bidi="ar-MA"/>
        </w:rPr>
        <w:t>بالنسبة ل</w:t>
      </w:r>
      <w:r w:rsidR="000B6807">
        <w:rPr>
          <w:rFonts w:ascii="Times New Roman" w:hAnsi="Times New Roman" w:cs="Times New Roman" w:hint="cs"/>
          <w:rtl/>
          <w:lang w:bidi="ar-MA"/>
        </w:rPr>
        <w:t>بعض ا</w:t>
      </w:r>
      <w:r w:rsidR="00A033D7" w:rsidRPr="00A033D7">
        <w:rPr>
          <w:rFonts w:ascii="Times New Roman" w:hAnsi="Times New Roman" w:cs="Times New Roman"/>
          <w:rtl/>
          <w:lang w:bidi="ar-MA"/>
        </w:rPr>
        <w:t>لجهات</w:t>
      </w:r>
      <w:r w:rsidR="000B6807">
        <w:rPr>
          <w:rFonts w:ascii="Times New Roman" w:hAnsi="Times New Roman" w:cs="Times New Roman" w:hint="cs"/>
          <w:rtl/>
          <w:lang w:bidi="ar-MA"/>
        </w:rPr>
        <w:t xml:space="preserve"> بما فيها جهة مراكش-أسفي</w:t>
      </w:r>
      <w:r w:rsidR="00A033D7" w:rsidRPr="00A033D7">
        <w:rPr>
          <w:rFonts w:ascii="Times New Roman" w:hAnsi="Times New Roman" w:cs="Times New Roman"/>
          <w:rtl/>
          <w:lang w:bidi="ar-MA"/>
        </w:rPr>
        <w:t xml:space="preserve">، فإن الناتج الداخلي الإجمالي الجهوي حسب الفرد تراوح بين </w:t>
      </w:r>
      <w:r w:rsidR="00A033D7" w:rsidRPr="00A033D7">
        <w:rPr>
          <w:rFonts w:ascii="Times New Roman" w:hAnsi="Times New Roman" w:cs="Times New Roman"/>
          <w:lang w:bidi="ar-MA"/>
        </w:rPr>
        <w:t>15809</w:t>
      </w:r>
      <w:r w:rsidR="00A033D7" w:rsidRPr="00A033D7">
        <w:rPr>
          <w:rFonts w:ascii="Times New Roman" w:hAnsi="Times New Roman" w:cs="Times New Roman"/>
          <w:rtl/>
          <w:lang w:bidi="ar-MA"/>
        </w:rPr>
        <w:t xml:space="preserve"> درهم المسجل بجهة درعة-تافيلالت و</w:t>
      </w:r>
      <w:r w:rsidR="00A033D7" w:rsidRPr="00A033D7">
        <w:rPr>
          <w:rFonts w:ascii="Times New Roman" w:hAnsi="Times New Roman" w:cs="Times New Roman"/>
          <w:lang w:bidi="ar-MA"/>
        </w:rPr>
        <w:t>28447</w:t>
      </w:r>
      <w:r w:rsidR="00A033D7" w:rsidRPr="00A033D7">
        <w:rPr>
          <w:rFonts w:ascii="Times New Roman" w:hAnsi="Times New Roman" w:cs="Times New Roman"/>
          <w:rtl/>
          <w:lang w:bidi="ar-MA"/>
        </w:rPr>
        <w:t xml:space="preserve"> درهم</w:t>
      </w:r>
      <w:r w:rsidR="00A033D7" w:rsidRPr="00A033D7">
        <w:rPr>
          <w:rFonts w:ascii="Times New Roman" w:hAnsi="Times New Roman" w:cs="Times New Roman"/>
          <w:lang w:bidi="ar-MA"/>
        </w:rPr>
        <w:t xml:space="preserve"> </w:t>
      </w:r>
      <w:r w:rsidR="00A033D7" w:rsidRPr="00A033D7">
        <w:rPr>
          <w:rFonts w:ascii="Times New Roman" w:hAnsi="Times New Roman" w:cs="Times New Roman"/>
          <w:rtl/>
          <w:lang w:bidi="ar-MA"/>
        </w:rPr>
        <w:t xml:space="preserve"> بجهة طنجة- تطوان-الحسيمة.</w:t>
      </w:r>
    </w:p>
    <w:p w:rsidR="00A033D7" w:rsidRPr="00A033D7" w:rsidRDefault="00E745E4" w:rsidP="00E56BE4">
      <w:pPr>
        <w:bidi/>
        <w:jc w:val="both"/>
        <w:rPr>
          <w:rFonts w:ascii="Times New Roman" w:eastAsia="Calibri" w:hAnsi="Times New Roman" w:cs="Times New Roman"/>
          <w:bCs/>
          <w:lang w:eastAsia="en-US"/>
        </w:rPr>
      </w:pPr>
      <w:r>
        <w:rPr>
          <w:rStyle w:val="hps"/>
          <w:rFonts w:ascii="Times New Roman" w:hAnsi="Times New Roman" w:cs="Times New Roman" w:hint="cs"/>
          <w:rtl/>
        </w:rPr>
        <w:tab/>
      </w:r>
      <w:r w:rsidR="00A033D7" w:rsidRPr="00A033D7">
        <w:rPr>
          <w:rStyle w:val="hps"/>
          <w:rFonts w:ascii="Times New Roman" w:hAnsi="Times New Roman" w:cs="Times New Roman"/>
          <w:rtl/>
        </w:rPr>
        <w:t>وقد عرف تشتت الناتج الداخلي الإجمالي</w:t>
      </w:r>
      <w:r w:rsidR="00A033D7" w:rsidRPr="00A033D7">
        <w:rPr>
          <w:rFonts w:ascii="Times New Roman" w:hAnsi="Times New Roman" w:cs="Times New Roman"/>
          <w:rtl/>
        </w:rPr>
        <w:t xml:space="preserve"> حسب </w:t>
      </w:r>
      <w:r w:rsidR="00A033D7" w:rsidRPr="00A033D7">
        <w:rPr>
          <w:rStyle w:val="hps"/>
          <w:rFonts w:ascii="Times New Roman" w:hAnsi="Times New Roman" w:cs="Times New Roman"/>
          <w:rtl/>
        </w:rPr>
        <w:t xml:space="preserve">الفرد ارتفاعا ملحوظا، إذ </w:t>
      </w:r>
      <w:r w:rsidR="00A033D7" w:rsidRPr="00A033D7">
        <w:rPr>
          <w:rStyle w:val="hps"/>
          <w:rFonts w:ascii="Times New Roman" w:hAnsi="Times New Roman" w:cs="Times New Roman"/>
          <w:rtl/>
          <w:lang w:bidi="ar-MA"/>
        </w:rPr>
        <w:t>انتقل</w:t>
      </w:r>
      <w:r w:rsidR="00A033D7" w:rsidRPr="00A033D7">
        <w:rPr>
          <w:rStyle w:val="hps"/>
          <w:rFonts w:ascii="Times New Roman" w:hAnsi="Times New Roman" w:cs="Times New Roman"/>
          <w:rtl/>
        </w:rPr>
        <w:t xml:space="preserve"> </w:t>
      </w:r>
      <w:r w:rsidR="00A033D7" w:rsidRPr="00A033D7">
        <w:rPr>
          <w:rFonts w:ascii="Times New Roman" w:hAnsi="Times New Roman" w:cs="Times New Roman"/>
          <w:rtl/>
          <w:lang w:bidi="ar-MA"/>
        </w:rPr>
        <w:t>متوسط الفارق المطلق من 11018 درهم سنة 2015 إلى 11335 درهم سنة 2016.</w:t>
      </w:r>
    </w:p>
    <w:p w:rsidR="00A033D7" w:rsidRPr="00A033D7" w:rsidRDefault="00A033D7" w:rsidP="00A033D7">
      <w:pPr>
        <w:bidi/>
        <w:rPr>
          <w:rFonts w:ascii="Times New Roman" w:hAnsi="Times New Roman" w:cs="Times New Roman"/>
          <w:b/>
          <w:bCs/>
          <w:color w:val="C0504D" w:themeColor="accent2"/>
          <w:rtl/>
          <w:lang w:bidi="ar-MA"/>
        </w:rPr>
      </w:pPr>
      <w:r w:rsidRPr="00A033D7">
        <w:rPr>
          <w:rFonts w:ascii="Times New Roman" w:hAnsi="Times New Roman" w:cs="Times New Roman"/>
          <w:b/>
          <w:bCs/>
          <w:color w:val="C0504D" w:themeColor="accent2"/>
          <w:rtl/>
          <w:lang w:bidi="ar-MA"/>
        </w:rPr>
        <w:t xml:space="preserve">نفقات الاستهلاك النهائي للأسر حسب الجهات </w:t>
      </w:r>
    </w:p>
    <w:p w:rsidR="00A033D7" w:rsidRPr="00A033D7" w:rsidRDefault="00E745E4" w:rsidP="00E56BE4">
      <w:pPr>
        <w:bidi/>
        <w:spacing w:before="240"/>
        <w:jc w:val="both"/>
        <w:rPr>
          <w:rFonts w:ascii="Times New Roman" w:hAnsi="Times New Roman" w:cs="Times New Roman"/>
          <w:rtl/>
          <w:lang w:bidi="ar-MA"/>
        </w:rPr>
      </w:pPr>
      <w:r>
        <w:rPr>
          <w:rFonts w:ascii="Times New Roman" w:hAnsi="Times New Roman" w:cs="Times New Roman" w:hint="cs"/>
          <w:rtl/>
          <w:lang w:bidi="ar-MA"/>
        </w:rPr>
        <w:tab/>
      </w:r>
      <w:r w:rsidR="00A033D7" w:rsidRPr="00A033D7">
        <w:rPr>
          <w:rFonts w:ascii="Times New Roman" w:hAnsi="Times New Roman" w:cs="Times New Roman"/>
          <w:rtl/>
          <w:lang w:bidi="ar-MA"/>
        </w:rPr>
        <w:t xml:space="preserve">بلغ مجموع مساهمات  جهات فاس-مكناس، طنجة-تطوان-الحسيمة، مراكش- آسفي وسوس-ماسة في نفقات الاستهلاك النهائي للأسر 41,5 % بنسب بلغت 11,8 % و11,4 % و11,2 % و7,1% على التوالي. </w:t>
      </w:r>
    </w:p>
    <w:p w:rsidR="00A033D7" w:rsidRPr="00A033D7" w:rsidRDefault="00E745E4" w:rsidP="00E56BE4">
      <w:pPr>
        <w:bidi/>
        <w:spacing w:before="240" w:after="100" w:afterAutospacing="1"/>
        <w:jc w:val="both"/>
        <w:rPr>
          <w:rFonts w:ascii="Times New Roman" w:hAnsi="Times New Roman" w:cs="Times New Roman"/>
          <w:sz w:val="24"/>
          <w:szCs w:val="24"/>
          <w:rtl/>
          <w:lang w:bidi="ar-MA"/>
        </w:rPr>
      </w:pPr>
      <w:r>
        <w:rPr>
          <w:rFonts w:ascii="Times New Roman" w:hAnsi="Times New Roman" w:cs="Times New Roman" w:hint="cs"/>
          <w:rtl/>
          <w:lang w:bidi="ar-MA"/>
        </w:rPr>
        <w:tab/>
      </w:r>
      <w:r w:rsidR="00A033D7" w:rsidRPr="00A033D7">
        <w:rPr>
          <w:rFonts w:ascii="Times New Roman" w:hAnsi="Times New Roman" w:cs="Times New Roman"/>
          <w:rtl/>
          <w:lang w:bidi="ar-MA"/>
        </w:rPr>
        <w:t>وفي ظل هذه الظروف، فقد تراجعت التفاوتات نسبيا بين الجهات على مستوى نفقات الاستهلاك، حيث بلغ متوسط الفارق المطلق بين نفقات الاستهلاك النهائي للأسر لمختلف الجهات ومتوسط الاستهلاك النهائي للأسر على الصعيد الوطني</w:t>
      </w:r>
      <w:r w:rsidR="00A033D7" w:rsidRPr="00A033D7">
        <w:rPr>
          <w:rFonts w:ascii="Times New Roman" w:hAnsi="Times New Roman" w:cs="Times New Roman"/>
          <w:lang w:bidi="ar-MA"/>
        </w:rPr>
        <w:t xml:space="preserve">30.5 </w:t>
      </w:r>
      <w:r w:rsidR="00A033D7" w:rsidRPr="00A033D7">
        <w:rPr>
          <w:rFonts w:ascii="Times New Roman" w:hAnsi="Times New Roman" w:cs="Times New Roman"/>
          <w:rtl/>
          <w:lang w:bidi="ar-MA"/>
        </w:rPr>
        <w:t xml:space="preserve"> مليار درهم سنة </w:t>
      </w:r>
      <w:r w:rsidR="00A033D7" w:rsidRPr="00A033D7">
        <w:rPr>
          <w:rFonts w:ascii="Times New Roman" w:hAnsi="Times New Roman" w:cs="Times New Roman"/>
          <w:sz w:val="24"/>
          <w:szCs w:val="24"/>
          <w:rtl/>
          <w:lang w:bidi="ar-MA"/>
        </w:rPr>
        <w:t>2016 مقابل 30,6 مليار درهم سنة 2015.</w:t>
      </w:r>
    </w:p>
    <w:p w:rsidR="00A033D7" w:rsidRPr="00A033D7" w:rsidRDefault="00A033D7" w:rsidP="00A033D7">
      <w:pPr>
        <w:bidi/>
        <w:spacing w:before="240" w:after="100" w:afterAutospacing="1"/>
        <w:jc w:val="both"/>
        <w:rPr>
          <w:rFonts w:ascii="Times New Roman" w:hAnsi="Times New Roman" w:cs="Times New Roman"/>
          <w:sz w:val="24"/>
          <w:szCs w:val="24"/>
          <w:rtl/>
          <w:lang w:bidi="ar-MA"/>
        </w:rPr>
      </w:pPr>
      <w:r w:rsidRPr="00A033D7">
        <w:rPr>
          <w:rFonts w:ascii="Times New Roman" w:hAnsi="Times New Roman" w:cs="Times New Roman"/>
          <w:noProof/>
          <w:sz w:val="24"/>
          <w:szCs w:val="24"/>
          <w:rtl/>
        </w:rPr>
        <w:drawing>
          <wp:inline distT="0" distB="0" distL="0" distR="0">
            <wp:extent cx="5934710" cy="3009900"/>
            <wp:effectExtent l="19050" t="0" r="27940" b="0"/>
            <wp:docPr id="9"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33D7" w:rsidRPr="00A033D7" w:rsidRDefault="00A033D7" w:rsidP="00A033D7">
      <w:pPr>
        <w:bidi/>
        <w:spacing w:before="240"/>
        <w:jc w:val="both"/>
        <w:rPr>
          <w:rFonts w:ascii="Times New Roman" w:hAnsi="Times New Roman" w:cs="Times New Roman"/>
          <w:sz w:val="24"/>
          <w:szCs w:val="24"/>
          <w:rtl/>
          <w:lang w:bidi="ar-MA"/>
        </w:rPr>
      </w:pPr>
    </w:p>
    <w:p w:rsidR="00A033D7" w:rsidRPr="00A033D7" w:rsidRDefault="00E745E4" w:rsidP="00C94BC2">
      <w:pPr>
        <w:bidi/>
        <w:spacing w:before="240"/>
        <w:jc w:val="both"/>
        <w:rPr>
          <w:rFonts w:ascii="Times New Roman" w:hAnsi="Times New Roman" w:cs="Times New Roman"/>
          <w:sz w:val="24"/>
          <w:szCs w:val="24"/>
          <w:rtl/>
          <w:lang w:bidi="ar-MA"/>
        </w:rPr>
      </w:pPr>
      <w:r>
        <w:rPr>
          <w:rFonts w:ascii="Times New Roman" w:hAnsi="Times New Roman" w:cs="Times New Roman" w:hint="cs"/>
          <w:sz w:val="24"/>
          <w:szCs w:val="24"/>
          <w:rtl/>
          <w:lang w:bidi="ar-MA"/>
        </w:rPr>
        <w:lastRenderedPageBreak/>
        <w:tab/>
      </w:r>
      <w:r w:rsidR="00A033D7" w:rsidRPr="00A033D7">
        <w:rPr>
          <w:rFonts w:ascii="Times New Roman" w:hAnsi="Times New Roman" w:cs="Times New Roman"/>
          <w:sz w:val="24"/>
          <w:szCs w:val="24"/>
          <w:rtl/>
          <w:lang w:bidi="ar-MA"/>
        </w:rPr>
        <w:t xml:space="preserve">وبخصوص نفقات الاستهلاك النهائي حسب الفرد فقد سجلت ست جهات معدلات إنفاق تفوق المعدل </w:t>
      </w:r>
      <w:r w:rsidR="00E56BE4" w:rsidRPr="00A033D7">
        <w:rPr>
          <w:rFonts w:ascii="Times New Roman" w:hAnsi="Times New Roman" w:cs="Times New Roman" w:hint="cs"/>
          <w:sz w:val="24"/>
          <w:szCs w:val="24"/>
          <w:rtl/>
          <w:lang w:bidi="ar-MA"/>
        </w:rPr>
        <w:t>الوطني (16974</w:t>
      </w:r>
      <w:r w:rsidR="00A033D7" w:rsidRPr="00A033D7">
        <w:rPr>
          <w:rFonts w:ascii="Times New Roman" w:hAnsi="Times New Roman" w:cs="Times New Roman"/>
          <w:sz w:val="24"/>
          <w:szCs w:val="24"/>
          <w:rtl/>
          <w:lang w:bidi="ar-MA"/>
        </w:rPr>
        <w:t xml:space="preserve"> درهم سنة 2016). </w:t>
      </w:r>
      <w:r w:rsidR="000B6807">
        <w:rPr>
          <w:rFonts w:ascii="Times New Roman" w:hAnsi="Times New Roman" w:cs="Times New Roman" w:hint="cs"/>
          <w:sz w:val="24"/>
          <w:szCs w:val="24"/>
          <w:rtl/>
          <w:lang w:bidi="ar-MA"/>
        </w:rPr>
        <w:t xml:space="preserve">وتبقى جهة مراكش-أسفي ضمن الجهات التي عرفت فيها </w:t>
      </w:r>
      <w:r w:rsidR="00A033D7" w:rsidRPr="00A033D7">
        <w:rPr>
          <w:rFonts w:ascii="Times New Roman" w:hAnsi="Times New Roman" w:cs="Times New Roman"/>
          <w:sz w:val="24"/>
          <w:szCs w:val="24"/>
          <w:rtl/>
          <w:lang w:bidi="ar-MA"/>
        </w:rPr>
        <w:t>نفقات الاستهلاك النهائي حسب الفرد انتق</w:t>
      </w:r>
      <w:r w:rsidR="000B6807">
        <w:rPr>
          <w:rFonts w:ascii="Times New Roman" w:hAnsi="Times New Roman" w:cs="Times New Roman" w:hint="cs"/>
          <w:sz w:val="24"/>
          <w:szCs w:val="24"/>
          <w:rtl/>
          <w:lang w:bidi="ar-MA"/>
        </w:rPr>
        <w:t>ا</w:t>
      </w:r>
      <w:r w:rsidR="000B6807">
        <w:rPr>
          <w:rFonts w:ascii="Times New Roman" w:hAnsi="Times New Roman" w:cs="Times New Roman"/>
          <w:sz w:val="24"/>
          <w:szCs w:val="24"/>
          <w:rtl/>
          <w:lang w:bidi="ar-MA"/>
        </w:rPr>
        <w:t>ل</w:t>
      </w:r>
      <w:r w:rsidR="000B6807">
        <w:rPr>
          <w:rFonts w:ascii="Times New Roman" w:hAnsi="Times New Roman" w:cs="Times New Roman" w:hint="cs"/>
          <w:sz w:val="24"/>
          <w:szCs w:val="24"/>
          <w:rtl/>
          <w:lang w:bidi="ar-MA"/>
        </w:rPr>
        <w:t>ا</w:t>
      </w:r>
      <w:r w:rsidR="00A033D7" w:rsidRPr="00A033D7">
        <w:rPr>
          <w:rFonts w:ascii="Times New Roman" w:hAnsi="Times New Roman" w:cs="Times New Roman"/>
          <w:sz w:val="24"/>
          <w:szCs w:val="24"/>
          <w:rtl/>
          <w:lang w:bidi="ar-MA"/>
        </w:rPr>
        <w:t xml:space="preserve"> من 11890 درهم (درعة -تافيلالت) إلى 16062 درهم (فاس-مكناس).</w:t>
      </w:r>
    </w:p>
    <w:p w:rsidR="00E745E4" w:rsidRDefault="00E745E4" w:rsidP="00A033D7">
      <w:pPr>
        <w:bidi/>
        <w:spacing w:before="240" w:after="120"/>
        <w:jc w:val="both"/>
        <w:rPr>
          <w:rFonts w:ascii="Times New Roman" w:hAnsi="Times New Roman" w:cs="Times New Roman"/>
          <w:sz w:val="24"/>
          <w:szCs w:val="24"/>
          <w:rtl/>
          <w:lang w:bidi="ar-MA"/>
        </w:rPr>
      </w:pPr>
      <w:r>
        <w:rPr>
          <w:rFonts w:ascii="Times New Roman" w:hAnsi="Times New Roman" w:cs="Times New Roman" w:hint="cs"/>
          <w:sz w:val="24"/>
          <w:szCs w:val="24"/>
          <w:rtl/>
          <w:lang w:bidi="ar-MA"/>
        </w:rPr>
        <w:tab/>
      </w:r>
      <w:r w:rsidR="00A033D7" w:rsidRPr="00A033D7">
        <w:rPr>
          <w:rFonts w:ascii="Times New Roman" w:hAnsi="Times New Roman" w:cs="Times New Roman"/>
          <w:sz w:val="24"/>
          <w:szCs w:val="24"/>
          <w:rtl/>
          <w:lang w:bidi="ar-MA"/>
        </w:rPr>
        <w:t xml:space="preserve">وهكذا، انخفض تفاوت نفقات الاستهلاك النهائي للأسر حسب الفرد بشكل ملحوظ، حيث انتقل متوسط الفارق المطلق </w:t>
      </w:r>
      <w:bookmarkStart w:id="0" w:name="_GoBack"/>
      <w:bookmarkEnd w:id="0"/>
      <w:r w:rsidR="00A033D7" w:rsidRPr="00A033D7">
        <w:rPr>
          <w:rFonts w:ascii="Times New Roman" w:hAnsi="Times New Roman" w:cs="Times New Roman"/>
          <w:sz w:val="24"/>
          <w:szCs w:val="24"/>
          <w:rtl/>
          <w:lang w:bidi="ar-MA"/>
        </w:rPr>
        <w:t>من 2905 درهم سنة 2015 إلى 2663 درهم سنة 2016.</w:t>
      </w:r>
    </w:p>
    <w:p w:rsidR="00E745E4" w:rsidRDefault="00E745E4">
      <w:pPr>
        <w:rPr>
          <w:rFonts w:ascii="Times New Roman" w:hAnsi="Times New Roman" w:cs="Times New Roman"/>
          <w:sz w:val="24"/>
          <w:szCs w:val="24"/>
          <w:rtl/>
          <w:lang w:bidi="ar-MA"/>
        </w:rPr>
      </w:pPr>
      <w:r>
        <w:rPr>
          <w:rFonts w:ascii="Times New Roman" w:hAnsi="Times New Roman" w:cs="Times New Roman"/>
          <w:sz w:val="24"/>
          <w:szCs w:val="24"/>
          <w:rtl/>
          <w:lang w:bidi="ar-MA"/>
        </w:rPr>
        <w:br w:type="page"/>
      </w:r>
    </w:p>
    <w:p w:rsidR="00E779F7" w:rsidRPr="009A1EFF" w:rsidRDefault="00E779F7" w:rsidP="005E4B0F">
      <w:pPr>
        <w:shd w:val="clear" w:color="auto" w:fill="FBD4B4" w:themeFill="accent6" w:themeFillTint="66"/>
        <w:bidi/>
        <w:spacing w:after="0" w:line="240" w:lineRule="auto"/>
        <w:jc w:val="center"/>
        <w:rPr>
          <w:rFonts w:asciiTheme="majorBidi" w:hAnsiTheme="majorBidi" w:cstheme="majorBidi"/>
          <w:b/>
          <w:bCs/>
          <w:sz w:val="40"/>
          <w:szCs w:val="40"/>
          <w:rtl/>
          <w:lang w:bidi="ar-MA"/>
        </w:rPr>
      </w:pPr>
      <w:r w:rsidRPr="009A1EFF">
        <w:rPr>
          <w:rFonts w:asciiTheme="majorBidi" w:hAnsiTheme="majorBidi" w:cstheme="majorBidi" w:hint="cs"/>
          <w:b/>
          <w:bCs/>
          <w:sz w:val="40"/>
          <w:szCs w:val="40"/>
          <w:rtl/>
          <w:lang w:bidi="ar-MA"/>
        </w:rPr>
        <w:lastRenderedPageBreak/>
        <w:t>جداول النتائج</w:t>
      </w:r>
    </w:p>
    <w:p w:rsidR="00CB2E8B" w:rsidRDefault="00CB2E8B" w:rsidP="00CB2E8B">
      <w:pPr>
        <w:bidi/>
        <w:spacing w:after="0" w:line="240" w:lineRule="auto"/>
        <w:rPr>
          <w:rFonts w:asciiTheme="majorBidi" w:hAnsiTheme="majorBidi" w:cstheme="majorBidi" w:hint="cs"/>
          <w:b/>
          <w:bCs/>
          <w:sz w:val="24"/>
          <w:szCs w:val="24"/>
          <w:rtl/>
          <w:lang w:bidi="ar-MA"/>
        </w:rPr>
      </w:pPr>
    </w:p>
    <w:p w:rsidR="00E745E4" w:rsidRDefault="00E745E4" w:rsidP="00E745E4">
      <w:pPr>
        <w:bidi/>
        <w:spacing w:after="0" w:line="240" w:lineRule="auto"/>
        <w:rPr>
          <w:rFonts w:asciiTheme="majorBidi" w:hAnsiTheme="majorBidi" w:cstheme="majorBidi" w:hint="cs"/>
          <w:b/>
          <w:bCs/>
          <w:sz w:val="24"/>
          <w:szCs w:val="24"/>
          <w:rtl/>
          <w:lang w:bidi="ar-MA"/>
        </w:rPr>
      </w:pPr>
    </w:p>
    <w:p w:rsidR="00E745E4" w:rsidRDefault="00E745E4" w:rsidP="00E745E4">
      <w:pPr>
        <w:bidi/>
        <w:spacing w:after="0" w:line="240" w:lineRule="auto"/>
        <w:rPr>
          <w:rFonts w:asciiTheme="majorBidi" w:hAnsiTheme="majorBidi" w:cstheme="majorBidi"/>
          <w:b/>
          <w:bCs/>
          <w:sz w:val="24"/>
          <w:szCs w:val="24"/>
          <w:rtl/>
          <w:lang w:bidi="ar-MA"/>
        </w:rPr>
      </w:pPr>
    </w:p>
    <w:p w:rsidR="00EF247B" w:rsidRDefault="00E779F7" w:rsidP="00CB2E8B">
      <w:pPr>
        <w:tabs>
          <w:tab w:val="center" w:pos="4747"/>
          <w:tab w:val="right" w:pos="9212"/>
        </w:tabs>
        <w:bidi/>
        <w:spacing w:after="0" w:line="240" w:lineRule="auto"/>
        <w:ind w:right="283"/>
        <w:rPr>
          <w:b/>
          <w:bCs/>
          <w:rtl/>
          <w:lang w:bidi="ar-MA"/>
        </w:rPr>
      </w:pPr>
      <w:r w:rsidRPr="00051ED3">
        <w:rPr>
          <w:b/>
          <w:bCs/>
          <w:rtl/>
          <w:lang w:bidi="ar-MA"/>
        </w:rPr>
        <w:t xml:space="preserve">نمو الناتج الداخلي الإجمالي بين سنتي 2015 و 2016  </w:t>
      </w:r>
      <w:r w:rsidR="009C3674">
        <w:rPr>
          <w:rFonts w:hint="cs"/>
          <w:b/>
          <w:bCs/>
          <w:rtl/>
          <w:lang w:bidi="ar-MA"/>
        </w:rPr>
        <w:t>بجهة مراكش-أسفي</w:t>
      </w:r>
      <w:r w:rsidR="00890B77">
        <w:rPr>
          <w:rFonts w:hint="cs"/>
          <w:b/>
          <w:bCs/>
          <w:rtl/>
          <w:lang w:bidi="ar-MA"/>
        </w:rPr>
        <w:t>:</w:t>
      </w:r>
    </w:p>
    <w:tbl>
      <w:tblPr>
        <w:tblStyle w:val="Grilledutableau"/>
        <w:tblW w:w="0" w:type="auto"/>
        <w:tblInd w:w="108" w:type="dxa"/>
        <w:tblLook w:val="04A0"/>
      </w:tblPr>
      <w:tblGrid>
        <w:gridCol w:w="1595"/>
        <w:gridCol w:w="1456"/>
        <w:gridCol w:w="1320"/>
        <w:gridCol w:w="1319"/>
        <w:gridCol w:w="3490"/>
      </w:tblGrid>
      <w:tr w:rsidR="005B783B" w:rsidTr="00552317">
        <w:tc>
          <w:tcPr>
            <w:tcW w:w="3051" w:type="dxa"/>
            <w:gridSpan w:val="2"/>
            <w:shd w:val="clear" w:color="auto" w:fill="FBD4B4" w:themeFill="accent6" w:themeFillTint="66"/>
          </w:tcPr>
          <w:p w:rsidR="005B783B" w:rsidRDefault="00E779F7" w:rsidP="009C3674">
            <w:pPr>
              <w:jc w:val="center"/>
              <w:rPr>
                <w:noProof/>
                <w:lang w:bidi="ar-MA"/>
              </w:rPr>
            </w:pPr>
            <w:r w:rsidRPr="00051ED3">
              <w:rPr>
                <w:rFonts w:ascii="Book Antiqua" w:hAnsi="Book Antiqua" w:cs="Arial" w:hint="cs"/>
                <w:b/>
                <w:bCs/>
                <w:color w:val="000000"/>
                <w:rtl/>
              </w:rPr>
              <w:t xml:space="preserve"> </w:t>
            </w:r>
            <w:r w:rsidR="005B783B">
              <w:rPr>
                <w:rFonts w:hint="cs"/>
                <w:noProof/>
                <w:rtl/>
                <w:lang w:bidi="ar-MA"/>
              </w:rPr>
              <w:t>على الصعيد الوطني</w:t>
            </w:r>
          </w:p>
        </w:tc>
        <w:tc>
          <w:tcPr>
            <w:tcW w:w="2639" w:type="dxa"/>
            <w:gridSpan w:val="2"/>
            <w:shd w:val="clear" w:color="auto" w:fill="FBD4B4" w:themeFill="accent6" w:themeFillTint="66"/>
          </w:tcPr>
          <w:p w:rsidR="005B783B" w:rsidRDefault="005B783B" w:rsidP="009C3674">
            <w:pPr>
              <w:jc w:val="center"/>
              <w:rPr>
                <w:noProof/>
                <w:lang w:bidi="ar-MA"/>
              </w:rPr>
            </w:pPr>
            <w:r>
              <w:rPr>
                <w:rFonts w:hint="cs"/>
                <w:noProof/>
                <w:rtl/>
                <w:lang w:bidi="ar-MA"/>
              </w:rPr>
              <w:t>جهة مراكش أسفي</w:t>
            </w:r>
          </w:p>
        </w:tc>
        <w:tc>
          <w:tcPr>
            <w:tcW w:w="3490" w:type="dxa"/>
            <w:vMerge w:val="restart"/>
            <w:shd w:val="clear" w:color="auto" w:fill="FBD4B4" w:themeFill="accent6" w:themeFillTint="66"/>
          </w:tcPr>
          <w:p w:rsidR="005B783B" w:rsidRDefault="005B783B" w:rsidP="009C3674">
            <w:pPr>
              <w:jc w:val="center"/>
              <w:rPr>
                <w:noProof/>
                <w:lang w:bidi="ar-MA"/>
              </w:rPr>
            </w:pPr>
          </w:p>
        </w:tc>
      </w:tr>
      <w:tr w:rsidR="005B783B" w:rsidTr="00552317">
        <w:tc>
          <w:tcPr>
            <w:tcW w:w="1595" w:type="dxa"/>
            <w:shd w:val="clear" w:color="auto" w:fill="FABF8F" w:themeFill="accent6" w:themeFillTint="99"/>
          </w:tcPr>
          <w:p w:rsidR="005B783B" w:rsidRDefault="005B783B" w:rsidP="0074684E">
            <w:pPr>
              <w:jc w:val="center"/>
              <w:rPr>
                <w:noProof/>
                <w:lang w:bidi="ar-MA"/>
              </w:rPr>
            </w:pPr>
            <w:r>
              <w:rPr>
                <w:rFonts w:hint="cs"/>
                <w:noProof/>
                <w:rtl/>
                <w:lang w:bidi="ar-MA"/>
              </w:rPr>
              <w:t>2016</w:t>
            </w:r>
            <w:r w:rsidR="00101E96">
              <w:rPr>
                <w:rFonts w:hint="cs"/>
                <w:noProof/>
                <w:rtl/>
                <w:lang w:bidi="ar-MA"/>
              </w:rPr>
              <w:t>*</w:t>
            </w:r>
          </w:p>
        </w:tc>
        <w:tc>
          <w:tcPr>
            <w:tcW w:w="1456" w:type="dxa"/>
            <w:shd w:val="clear" w:color="auto" w:fill="FABF8F" w:themeFill="accent6" w:themeFillTint="99"/>
          </w:tcPr>
          <w:p w:rsidR="005B783B" w:rsidRDefault="005B783B" w:rsidP="0074684E">
            <w:pPr>
              <w:jc w:val="center"/>
              <w:rPr>
                <w:noProof/>
                <w:lang w:bidi="ar-MA"/>
              </w:rPr>
            </w:pPr>
            <w:r>
              <w:rPr>
                <w:rFonts w:hint="cs"/>
                <w:noProof/>
                <w:rtl/>
                <w:lang w:bidi="ar-MA"/>
              </w:rPr>
              <w:t>2015</w:t>
            </w:r>
          </w:p>
        </w:tc>
        <w:tc>
          <w:tcPr>
            <w:tcW w:w="1320" w:type="dxa"/>
            <w:shd w:val="clear" w:color="auto" w:fill="FABF8F" w:themeFill="accent6" w:themeFillTint="99"/>
          </w:tcPr>
          <w:p w:rsidR="005B783B" w:rsidRDefault="005B783B" w:rsidP="0074684E">
            <w:pPr>
              <w:jc w:val="center"/>
              <w:rPr>
                <w:noProof/>
                <w:lang w:bidi="ar-MA"/>
              </w:rPr>
            </w:pPr>
            <w:r>
              <w:rPr>
                <w:rFonts w:hint="cs"/>
                <w:noProof/>
                <w:rtl/>
                <w:lang w:bidi="ar-MA"/>
              </w:rPr>
              <w:t>2016</w:t>
            </w:r>
            <w:r w:rsidR="00101E96">
              <w:rPr>
                <w:rFonts w:hint="cs"/>
                <w:noProof/>
                <w:rtl/>
                <w:lang w:bidi="ar-MA"/>
              </w:rPr>
              <w:t>*</w:t>
            </w:r>
          </w:p>
        </w:tc>
        <w:tc>
          <w:tcPr>
            <w:tcW w:w="1319" w:type="dxa"/>
            <w:shd w:val="clear" w:color="auto" w:fill="FABF8F" w:themeFill="accent6" w:themeFillTint="99"/>
          </w:tcPr>
          <w:p w:rsidR="005B783B" w:rsidRDefault="005B783B" w:rsidP="0074684E">
            <w:pPr>
              <w:jc w:val="center"/>
              <w:rPr>
                <w:noProof/>
                <w:lang w:bidi="ar-MA"/>
              </w:rPr>
            </w:pPr>
            <w:r>
              <w:rPr>
                <w:rFonts w:hint="cs"/>
                <w:noProof/>
                <w:rtl/>
                <w:lang w:bidi="ar-MA"/>
              </w:rPr>
              <w:t>2015</w:t>
            </w:r>
          </w:p>
        </w:tc>
        <w:tc>
          <w:tcPr>
            <w:tcW w:w="3490" w:type="dxa"/>
            <w:vMerge/>
          </w:tcPr>
          <w:p w:rsidR="005B783B" w:rsidRDefault="005B783B" w:rsidP="009C3674">
            <w:pPr>
              <w:jc w:val="center"/>
              <w:rPr>
                <w:noProof/>
                <w:lang w:bidi="ar-MA"/>
              </w:rPr>
            </w:pPr>
          </w:p>
        </w:tc>
      </w:tr>
      <w:tr w:rsidR="005B783B" w:rsidTr="006D160C">
        <w:trPr>
          <w:trHeight w:val="397"/>
        </w:trPr>
        <w:tc>
          <w:tcPr>
            <w:tcW w:w="1595"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999</w:t>
            </w:r>
            <w:r w:rsidR="00BD6D24">
              <w:rPr>
                <w:rFonts w:ascii="Book Antiqua" w:hAnsi="Book Antiqua" w:hint="cs"/>
                <w:color w:val="000000"/>
                <w:rtl/>
              </w:rPr>
              <w:t xml:space="preserve"> </w:t>
            </w:r>
            <w:r w:rsidRPr="006D160C">
              <w:rPr>
                <w:rFonts w:ascii="Book Antiqua" w:hAnsi="Book Antiqua"/>
                <w:color w:val="000000"/>
              </w:rPr>
              <w:t>074</w:t>
            </w:r>
          </w:p>
        </w:tc>
        <w:tc>
          <w:tcPr>
            <w:tcW w:w="1456"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987</w:t>
            </w:r>
            <w:r w:rsidR="00BD6D24">
              <w:rPr>
                <w:rFonts w:ascii="Book Antiqua" w:hAnsi="Book Antiqua" w:hint="cs"/>
                <w:color w:val="000000"/>
                <w:rtl/>
              </w:rPr>
              <w:t xml:space="preserve"> </w:t>
            </w:r>
            <w:r w:rsidRPr="006D160C">
              <w:rPr>
                <w:rFonts w:ascii="Book Antiqua" w:hAnsi="Book Antiqua"/>
                <w:color w:val="000000"/>
              </w:rPr>
              <w:t>950</w:t>
            </w:r>
          </w:p>
        </w:tc>
        <w:tc>
          <w:tcPr>
            <w:tcW w:w="1320" w:type="dxa"/>
            <w:shd w:val="clear" w:color="auto" w:fill="F2DBDB" w:themeFill="accent2" w:themeFillTint="33"/>
          </w:tcPr>
          <w:p w:rsidR="00DE51C0" w:rsidRPr="006D160C" w:rsidRDefault="000665F7" w:rsidP="006D160C">
            <w:pPr>
              <w:jc w:val="center"/>
              <w:rPr>
                <w:rFonts w:ascii="Book Antiqua" w:hAnsi="Book Antiqua"/>
                <w:color w:val="000000"/>
              </w:rPr>
            </w:pPr>
            <w:r w:rsidRPr="006D160C">
              <w:rPr>
                <w:rFonts w:ascii="Book Antiqua" w:hAnsi="Book Antiqua"/>
                <w:color w:val="000000"/>
              </w:rPr>
              <w:t>87</w:t>
            </w:r>
            <w:r w:rsidR="00BD6D24">
              <w:rPr>
                <w:rFonts w:ascii="Book Antiqua" w:hAnsi="Book Antiqua" w:hint="cs"/>
                <w:color w:val="000000"/>
                <w:rtl/>
              </w:rPr>
              <w:t xml:space="preserve"> </w:t>
            </w:r>
            <w:r w:rsidRPr="006D160C">
              <w:rPr>
                <w:rFonts w:ascii="Book Antiqua" w:hAnsi="Book Antiqua"/>
                <w:color w:val="000000"/>
              </w:rPr>
              <w:t>285</w:t>
            </w:r>
          </w:p>
        </w:tc>
        <w:tc>
          <w:tcPr>
            <w:tcW w:w="1319" w:type="dxa"/>
            <w:shd w:val="clear" w:color="auto" w:fill="F2DBDB" w:themeFill="accent2" w:themeFillTint="33"/>
          </w:tcPr>
          <w:p w:rsidR="00DE51C0" w:rsidRPr="006D160C" w:rsidRDefault="000665F7" w:rsidP="006D160C">
            <w:pPr>
              <w:jc w:val="center"/>
              <w:rPr>
                <w:rFonts w:ascii="Book Antiqua" w:hAnsi="Book Antiqua"/>
                <w:color w:val="000000"/>
              </w:rPr>
            </w:pPr>
            <w:r w:rsidRPr="006D160C">
              <w:rPr>
                <w:rFonts w:ascii="Book Antiqua" w:hAnsi="Book Antiqua"/>
                <w:color w:val="000000"/>
              </w:rPr>
              <w:t>87</w:t>
            </w:r>
            <w:r w:rsidR="00BD6D24">
              <w:rPr>
                <w:rFonts w:ascii="Book Antiqua" w:hAnsi="Book Antiqua" w:hint="cs"/>
                <w:color w:val="000000"/>
                <w:rtl/>
              </w:rPr>
              <w:t xml:space="preserve"> </w:t>
            </w:r>
            <w:r w:rsidRPr="006D160C">
              <w:rPr>
                <w:rFonts w:ascii="Book Antiqua" w:hAnsi="Book Antiqua"/>
                <w:color w:val="000000"/>
              </w:rPr>
              <w:t>888</w:t>
            </w:r>
          </w:p>
        </w:tc>
        <w:tc>
          <w:tcPr>
            <w:tcW w:w="3490" w:type="dxa"/>
            <w:shd w:val="clear" w:color="auto" w:fill="FBD4B4" w:themeFill="accent6" w:themeFillTint="66"/>
          </w:tcPr>
          <w:p w:rsidR="005B783B" w:rsidRDefault="00A616E6" w:rsidP="009C3674">
            <w:pPr>
              <w:jc w:val="center"/>
              <w:rPr>
                <w:noProof/>
                <w:lang w:bidi="ar-MA"/>
              </w:rPr>
            </w:pPr>
            <w:r>
              <w:rPr>
                <w:rFonts w:hint="cs"/>
                <w:noProof/>
                <w:rtl/>
                <w:lang w:bidi="ar-MA"/>
              </w:rPr>
              <w:t>الناتج الداخلي الإجمالي بملايين الدراهم</w:t>
            </w:r>
          </w:p>
        </w:tc>
      </w:tr>
      <w:tr w:rsidR="005B783B" w:rsidTr="006D160C">
        <w:trPr>
          <w:trHeight w:val="397"/>
        </w:trPr>
        <w:tc>
          <w:tcPr>
            <w:tcW w:w="1595"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1.1</w:t>
            </w:r>
          </w:p>
        </w:tc>
        <w:tc>
          <w:tcPr>
            <w:tcW w:w="1456"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4.5</w:t>
            </w:r>
          </w:p>
        </w:tc>
        <w:tc>
          <w:tcPr>
            <w:tcW w:w="1320"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-0.7</w:t>
            </w:r>
          </w:p>
        </w:tc>
        <w:tc>
          <w:tcPr>
            <w:tcW w:w="1319"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3.5</w:t>
            </w:r>
          </w:p>
        </w:tc>
        <w:tc>
          <w:tcPr>
            <w:tcW w:w="3490" w:type="dxa"/>
            <w:shd w:val="clear" w:color="auto" w:fill="FBD4B4" w:themeFill="accent6" w:themeFillTint="66"/>
          </w:tcPr>
          <w:p w:rsidR="005B783B" w:rsidRDefault="00A616E6" w:rsidP="009C3674">
            <w:pPr>
              <w:jc w:val="center"/>
              <w:rPr>
                <w:noProof/>
                <w:lang w:bidi="ar-MA"/>
              </w:rPr>
            </w:pPr>
            <w:r>
              <w:rPr>
                <w:rFonts w:hint="cs"/>
                <w:noProof/>
                <w:rtl/>
                <w:lang w:bidi="ar-MA"/>
              </w:rPr>
              <w:t>نسبة النمو ( )</w:t>
            </w:r>
          </w:p>
        </w:tc>
      </w:tr>
      <w:tr w:rsidR="005B783B" w:rsidTr="006D160C">
        <w:trPr>
          <w:trHeight w:val="397"/>
        </w:trPr>
        <w:tc>
          <w:tcPr>
            <w:tcW w:w="1595"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1.1</w:t>
            </w:r>
          </w:p>
        </w:tc>
        <w:tc>
          <w:tcPr>
            <w:tcW w:w="1456"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4.5</w:t>
            </w:r>
          </w:p>
        </w:tc>
        <w:tc>
          <w:tcPr>
            <w:tcW w:w="1320"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-0.1</w:t>
            </w:r>
          </w:p>
        </w:tc>
        <w:tc>
          <w:tcPr>
            <w:tcW w:w="1319" w:type="dxa"/>
            <w:shd w:val="clear" w:color="auto" w:fill="F2DBDB" w:themeFill="accent2" w:themeFillTint="33"/>
          </w:tcPr>
          <w:p w:rsidR="005B783B" w:rsidRPr="006D160C" w:rsidRDefault="000665F7" w:rsidP="006D160C">
            <w:pPr>
              <w:jc w:val="center"/>
              <w:rPr>
                <w:rFonts w:ascii="Book Antiqua" w:hAnsi="Book Antiqua"/>
                <w:color w:val="000000"/>
              </w:rPr>
            </w:pPr>
            <w:r w:rsidRPr="006D160C">
              <w:rPr>
                <w:rFonts w:ascii="Book Antiqua" w:hAnsi="Book Antiqua"/>
                <w:color w:val="000000"/>
              </w:rPr>
              <w:t>0.3</w:t>
            </w:r>
          </w:p>
        </w:tc>
        <w:tc>
          <w:tcPr>
            <w:tcW w:w="3490" w:type="dxa"/>
            <w:shd w:val="clear" w:color="auto" w:fill="FBD4B4" w:themeFill="accent6" w:themeFillTint="66"/>
          </w:tcPr>
          <w:p w:rsidR="005B783B" w:rsidRDefault="00A616E6" w:rsidP="009C3674">
            <w:pPr>
              <w:jc w:val="center"/>
              <w:rPr>
                <w:noProof/>
                <w:lang w:bidi="ar-MA"/>
              </w:rPr>
            </w:pPr>
            <w:r>
              <w:rPr>
                <w:rFonts w:hint="cs"/>
                <w:noProof/>
                <w:rtl/>
                <w:lang w:bidi="ar-MA"/>
              </w:rPr>
              <w:t>المساهمة في النمو (نقاط)</w:t>
            </w:r>
          </w:p>
        </w:tc>
      </w:tr>
    </w:tbl>
    <w:p w:rsidR="00CB2E8B" w:rsidRDefault="00101E96" w:rsidP="00CB2E8B">
      <w:pPr>
        <w:bidi/>
        <w:spacing w:after="0" w:line="240" w:lineRule="auto"/>
        <w:ind w:right="283"/>
        <w:rPr>
          <w:rFonts w:ascii="Book Antiqua" w:hAnsi="Book Antiqua" w:cs="Simplified Arabic"/>
          <w:sz w:val="16"/>
          <w:szCs w:val="16"/>
          <w:lang w:bidi="ar-MA"/>
        </w:rPr>
      </w:pPr>
      <w:r>
        <w:rPr>
          <w:rFonts w:ascii="Book Antiqua" w:hAnsi="Book Antiqua" w:cs="Simplified Arabic" w:hint="cs"/>
          <w:sz w:val="16"/>
          <w:szCs w:val="16"/>
          <w:rtl/>
          <w:lang w:bidi="ar-MA"/>
        </w:rPr>
        <w:t>*</w:t>
      </w:r>
      <w:r w:rsidRPr="00D909F3">
        <w:rPr>
          <w:rFonts w:ascii="Book Antiqua" w:hAnsi="Book Antiqua" w:cs="Simplified Arabic"/>
          <w:sz w:val="16"/>
          <w:szCs w:val="16"/>
          <w:rtl/>
          <w:lang w:bidi="ar-MA"/>
        </w:rPr>
        <w:t xml:space="preserve"> معطيات شبه-نهائية</w:t>
      </w:r>
    </w:p>
    <w:p w:rsidR="00552317" w:rsidRDefault="00552317" w:rsidP="00552317">
      <w:pPr>
        <w:bidi/>
        <w:spacing w:after="0" w:line="240" w:lineRule="auto"/>
        <w:ind w:right="283"/>
        <w:rPr>
          <w:rFonts w:hint="cs"/>
          <w:b/>
          <w:bCs/>
          <w:rtl/>
          <w:lang w:bidi="ar-MA"/>
        </w:rPr>
      </w:pPr>
    </w:p>
    <w:p w:rsidR="00E745E4" w:rsidRDefault="00E745E4" w:rsidP="00E745E4">
      <w:pPr>
        <w:bidi/>
        <w:spacing w:after="0" w:line="240" w:lineRule="auto"/>
        <w:ind w:right="283"/>
        <w:rPr>
          <w:b/>
          <w:bCs/>
          <w:rtl/>
          <w:lang w:bidi="ar-MA"/>
        </w:rPr>
      </w:pPr>
    </w:p>
    <w:p w:rsidR="00E779F7" w:rsidRDefault="00E779F7" w:rsidP="00CB2E8B">
      <w:pPr>
        <w:bidi/>
        <w:spacing w:after="0" w:line="240" w:lineRule="auto"/>
        <w:ind w:right="283"/>
        <w:rPr>
          <w:b/>
          <w:bCs/>
          <w:rtl/>
          <w:lang w:bidi="ar-MA"/>
        </w:rPr>
      </w:pPr>
      <w:r w:rsidRPr="00051ED3">
        <w:rPr>
          <w:b/>
          <w:bCs/>
          <w:rtl/>
          <w:lang w:bidi="ar-MA"/>
        </w:rPr>
        <w:t xml:space="preserve">الناتج الداخلي الإجمالي(بالأسعار الجارية) </w:t>
      </w:r>
      <w:r w:rsidR="007D7E78">
        <w:rPr>
          <w:rFonts w:hint="cs"/>
          <w:b/>
          <w:bCs/>
          <w:rtl/>
          <w:lang w:bidi="ar-MA"/>
        </w:rPr>
        <w:t>بجهة مراكش-أسفي</w:t>
      </w:r>
      <w:r w:rsidR="007D7E78" w:rsidRPr="00051ED3">
        <w:rPr>
          <w:b/>
          <w:bCs/>
          <w:rtl/>
          <w:lang w:bidi="ar-MA"/>
        </w:rPr>
        <w:t xml:space="preserve"> </w:t>
      </w:r>
      <w:r w:rsidRPr="00051ED3">
        <w:rPr>
          <w:b/>
          <w:bCs/>
          <w:rtl/>
          <w:lang w:bidi="ar-MA"/>
        </w:rPr>
        <w:t>لسنـــــــتي 2015 و 2016</w:t>
      </w:r>
      <w:r w:rsidR="00890B77">
        <w:rPr>
          <w:rFonts w:hint="cs"/>
          <w:b/>
          <w:bCs/>
          <w:rtl/>
          <w:lang w:bidi="ar-MA"/>
        </w:rPr>
        <w:t>:</w:t>
      </w:r>
    </w:p>
    <w:tbl>
      <w:tblPr>
        <w:tblStyle w:val="Grilledutableau"/>
        <w:bidiVisual/>
        <w:tblW w:w="0" w:type="auto"/>
        <w:tblLook w:val="04A0"/>
      </w:tblPr>
      <w:tblGrid>
        <w:gridCol w:w="3368"/>
        <w:gridCol w:w="1417"/>
        <w:gridCol w:w="1418"/>
        <w:gridCol w:w="1559"/>
        <w:gridCol w:w="1450"/>
      </w:tblGrid>
      <w:tr w:rsidR="00C4660B" w:rsidTr="00E03687">
        <w:tc>
          <w:tcPr>
            <w:tcW w:w="3368" w:type="dxa"/>
            <w:vMerge w:val="restart"/>
            <w:shd w:val="clear" w:color="auto" w:fill="FBD4B4" w:themeFill="accent6" w:themeFillTint="66"/>
          </w:tcPr>
          <w:p w:rsidR="00C4660B" w:rsidRDefault="00C4660B" w:rsidP="00E779F7">
            <w:pPr>
              <w:bidi/>
              <w:spacing w:after="120"/>
              <w:ind w:right="283"/>
              <w:rPr>
                <w:b/>
                <w:bCs/>
                <w:rtl/>
                <w:lang w:bidi="ar-MA"/>
              </w:rPr>
            </w:pPr>
          </w:p>
        </w:tc>
        <w:tc>
          <w:tcPr>
            <w:tcW w:w="2835"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جهة مراكش أسفي</w:t>
            </w:r>
          </w:p>
        </w:tc>
        <w:tc>
          <w:tcPr>
            <w:tcW w:w="3009"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على الصعيد الوطني</w:t>
            </w:r>
          </w:p>
        </w:tc>
      </w:tr>
      <w:tr w:rsidR="007269D2" w:rsidTr="00532E1B">
        <w:tc>
          <w:tcPr>
            <w:tcW w:w="3368" w:type="dxa"/>
            <w:vMerge/>
          </w:tcPr>
          <w:p w:rsidR="007269D2" w:rsidRDefault="007269D2" w:rsidP="00E779F7">
            <w:pPr>
              <w:bidi/>
              <w:spacing w:after="120"/>
              <w:ind w:right="283"/>
              <w:rPr>
                <w:b/>
                <w:bCs/>
                <w:rtl/>
                <w:lang w:bidi="ar-MA"/>
              </w:rPr>
            </w:pPr>
          </w:p>
        </w:tc>
        <w:tc>
          <w:tcPr>
            <w:tcW w:w="1417" w:type="dxa"/>
            <w:shd w:val="clear" w:color="auto" w:fill="FABF8F" w:themeFill="accent6" w:themeFillTint="99"/>
          </w:tcPr>
          <w:p w:rsidR="007269D2" w:rsidRDefault="007269D2" w:rsidP="007269D2">
            <w:pPr>
              <w:jc w:val="center"/>
              <w:rPr>
                <w:noProof/>
                <w:lang w:bidi="ar-MA"/>
              </w:rPr>
            </w:pPr>
            <w:r>
              <w:rPr>
                <w:rFonts w:hint="cs"/>
                <w:noProof/>
                <w:rtl/>
                <w:lang w:bidi="ar-MA"/>
              </w:rPr>
              <w:t>2015</w:t>
            </w:r>
          </w:p>
        </w:tc>
        <w:tc>
          <w:tcPr>
            <w:tcW w:w="1418" w:type="dxa"/>
            <w:shd w:val="clear" w:color="auto" w:fill="FABF8F" w:themeFill="accent6" w:themeFillTint="99"/>
          </w:tcPr>
          <w:p w:rsidR="007269D2" w:rsidRDefault="007269D2" w:rsidP="007269D2">
            <w:pPr>
              <w:jc w:val="center"/>
              <w:rPr>
                <w:noProof/>
                <w:lang w:bidi="ar-MA"/>
              </w:rPr>
            </w:pPr>
            <w:r>
              <w:rPr>
                <w:rFonts w:hint="cs"/>
                <w:noProof/>
                <w:rtl/>
                <w:lang w:bidi="ar-MA"/>
              </w:rPr>
              <w:t>2016</w:t>
            </w:r>
            <w:r w:rsidR="00101E96">
              <w:rPr>
                <w:rFonts w:hint="cs"/>
                <w:noProof/>
                <w:rtl/>
                <w:lang w:bidi="ar-MA"/>
              </w:rPr>
              <w:t>*</w:t>
            </w:r>
          </w:p>
        </w:tc>
        <w:tc>
          <w:tcPr>
            <w:tcW w:w="1559" w:type="dxa"/>
            <w:shd w:val="clear" w:color="auto" w:fill="FABF8F" w:themeFill="accent6" w:themeFillTint="99"/>
          </w:tcPr>
          <w:p w:rsidR="007269D2" w:rsidRDefault="007269D2" w:rsidP="0074684E">
            <w:pPr>
              <w:jc w:val="center"/>
              <w:rPr>
                <w:noProof/>
                <w:lang w:bidi="ar-MA"/>
              </w:rPr>
            </w:pPr>
            <w:r>
              <w:rPr>
                <w:rFonts w:hint="cs"/>
                <w:noProof/>
                <w:rtl/>
                <w:lang w:bidi="ar-MA"/>
              </w:rPr>
              <w:t>2015</w:t>
            </w:r>
          </w:p>
        </w:tc>
        <w:tc>
          <w:tcPr>
            <w:tcW w:w="1450" w:type="dxa"/>
            <w:shd w:val="clear" w:color="auto" w:fill="FABF8F" w:themeFill="accent6" w:themeFillTint="99"/>
          </w:tcPr>
          <w:p w:rsidR="007269D2" w:rsidRDefault="007269D2" w:rsidP="0074684E">
            <w:pPr>
              <w:jc w:val="center"/>
              <w:rPr>
                <w:noProof/>
                <w:lang w:bidi="ar-MA"/>
              </w:rPr>
            </w:pPr>
            <w:r>
              <w:rPr>
                <w:rFonts w:hint="cs"/>
                <w:noProof/>
                <w:rtl/>
                <w:lang w:bidi="ar-MA"/>
              </w:rPr>
              <w:t>2016</w:t>
            </w:r>
            <w:r w:rsidR="00101E96">
              <w:rPr>
                <w:rFonts w:hint="cs"/>
                <w:noProof/>
                <w:rtl/>
                <w:lang w:bidi="ar-MA"/>
              </w:rPr>
              <w:t>*</w:t>
            </w:r>
          </w:p>
        </w:tc>
      </w:tr>
      <w:tr w:rsidR="007D7E78" w:rsidTr="00E03687">
        <w:tc>
          <w:tcPr>
            <w:tcW w:w="3368" w:type="dxa"/>
            <w:shd w:val="clear" w:color="auto" w:fill="FBD4B4" w:themeFill="accent6" w:themeFillTint="66"/>
          </w:tcPr>
          <w:p w:rsidR="007D7E78" w:rsidRPr="007D7E78" w:rsidRDefault="007D7E78" w:rsidP="00E779F7">
            <w:pPr>
              <w:bidi/>
              <w:spacing w:after="120"/>
              <w:ind w:right="283"/>
              <w:rPr>
                <w:noProof/>
                <w:rtl/>
                <w:lang w:bidi="ar-MA"/>
              </w:rPr>
            </w:pPr>
            <w:r w:rsidRPr="007D7E78">
              <w:rPr>
                <w:rFonts w:hint="cs"/>
                <w:noProof/>
                <w:rtl/>
                <w:lang w:bidi="ar-MA"/>
              </w:rPr>
              <w:t>الناتج الداخلي الإجمالي بملايين الدراهم</w:t>
            </w:r>
          </w:p>
        </w:tc>
        <w:tc>
          <w:tcPr>
            <w:tcW w:w="1417" w:type="dxa"/>
            <w:shd w:val="clear" w:color="auto" w:fill="F2DBDB" w:themeFill="accent2" w:themeFillTint="33"/>
          </w:tcPr>
          <w:p w:rsidR="007D7E78" w:rsidRPr="006D160C" w:rsidRDefault="000665F7" w:rsidP="006D160C">
            <w:pPr>
              <w:jc w:val="center"/>
              <w:rPr>
                <w:rFonts w:ascii="Book Antiqua" w:hAnsi="Book Antiqua"/>
                <w:color w:val="000000"/>
              </w:rPr>
            </w:pPr>
            <w:r w:rsidRPr="006D160C">
              <w:rPr>
                <w:rFonts w:ascii="Book Antiqua" w:hAnsi="Book Antiqua"/>
                <w:color w:val="000000"/>
              </w:rPr>
              <w:t>87</w:t>
            </w:r>
            <w:r w:rsidR="00BD6D24">
              <w:rPr>
                <w:rFonts w:ascii="Book Antiqua" w:hAnsi="Book Antiqua" w:hint="cs"/>
                <w:color w:val="000000"/>
                <w:rtl/>
              </w:rPr>
              <w:t xml:space="preserve"> </w:t>
            </w:r>
            <w:r w:rsidRPr="006D160C">
              <w:rPr>
                <w:rFonts w:ascii="Book Antiqua" w:hAnsi="Book Antiqua"/>
                <w:color w:val="000000"/>
              </w:rPr>
              <w:t>888</w:t>
            </w:r>
          </w:p>
        </w:tc>
        <w:tc>
          <w:tcPr>
            <w:tcW w:w="1418"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88</w:t>
            </w:r>
            <w:r w:rsidR="00BD6D24">
              <w:rPr>
                <w:rFonts w:ascii="Book Antiqua" w:hAnsi="Book Antiqua" w:hint="cs"/>
                <w:color w:val="000000"/>
                <w:rtl/>
              </w:rPr>
              <w:t xml:space="preserve"> </w:t>
            </w:r>
            <w:r w:rsidRPr="006D160C">
              <w:rPr>
                <w:rFonts w:ascii="Book Antiqua" w:hAnsi="Book Antiqua"/>
                <w:color w:val="000000"/>
              </w:rPr>
              <w:t>133</w:t>
            </w:r>
          </w:p>
        </w:tc>
        <w:tc>
          <w:tcPr>
            <w:tcW w:w="1559"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987</w:t>
            </w:r>
            <w:r w:rsidR="00BD6D24">
              <w:rPr>
                <w:rFonts w:ascii="Book Antiqua" w:hAnsi="Book Antiqua" w:hint="cs"/>
                <w:color w:val="000000"/>
                <w:rtl/>
              </w:rPr>
              <w:t xml:space="preserve"> </w:t>
            </w:r>
            <w:r w:rsidRPr="006D160C">
              <w:rPr>
                <w:rFonts w:ascii="Book Antiqua" w:hAnsi="Book Antiqua"/>
                <w:color w:val="000000"/>
              </w:rPr>
              <w:t>950</w:t>
            </w:r>
          </w:p>
        </w:tc>
        <w:tc>
          <w:tcPr>
            <w:tcW w:w="1450"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1</w:t>
            </w:r>
            <w:r w:rsidR="00BD6D24">
              <w:rPr>
                <w:rFonts w:ascii="Book Antiqua" w:hAnsi="Book Antiqua" w:hint="cs"/>
                <w:color w:val="000000"/>
                <w:rtl/>
              </w:rPr>
              <w:t xml:space="preserve"> </w:t>
            </w:r>
            <w:r w:rsidRPr="006D160C">
              <w:rPr>
                <w:rFonts w:ascii="Book Antiqua" w:hAnsi="Book Antiqua"/>
                <w:color w:val="000000"/>
              </w:rPr>
              <w:t>013</w:t>
            </w:r>
            <w:r w:rsidR="00BD6D24">
              <w:rPr>
                <w:rFonts w:ascii="Book Antiqua" w:hAnsi="Book Antiqua" w:hint="cs"/>
                <w:color w:val="000000"/>
                <w:rtl/>
              </w:rPr>
              <w:t xml:space="preserve"> </w:t>
            </w:r>
            <w:r w:rsidRPr="006D160C">
              <w:rPr>
                <w:rFonts w:ascii="Book Antiqua" w:hAnsi="Book Antiqua"/>
                <w:color w:val="000000"/>
              </w:rPr>
              <w:t>559</w:t>
            </w:r>
          </w:p>
        </w:tc>
      </w:tr>
      <w:tr w:rsidR="007D7E78" w:rsidTr="00E03687">
        <w:tc>
          <w:tcPr>
            <w:tcW w:w="3368" w:type="dxa"/>
            <w:shd w:val="clear" w:color="auto" w:fill="FBD4B4" w:themeFill="accent6" w:themeFillTint="66"/>
          </w:tcPr>
          <w:p w:rsidR="007D7E78" w:rsidRPr="007D7E78" w:rsidRDefault="007D7E78" w:rsidP="00E779F7">
            <w:pPr>
              <w:bidi/>
              <w:spacing w:after="120"/>
              <w:ind w:right="283"/>
              <w:rPr>
                <w:noProof/>
                <w:rtl/>
                <w:lang w:bidi="ar-MA"/>
              </w:rPr>
            </w:pPr>
            <w:r w:rsidRPr="007D7E78">
              <w:rPr>
                <w:rFonts w:hint="cs"/>
                <w:noProof/>
                <w:rtl/>
                <w:lang w:bidi="ar-MA"/>
              </w:rPr>
              <w:t>الناتج الداخلي الإجمالي</w:t>
            </w:r>
            <w:r>
              <w:rPr>
                <w:rFonts w:hint="cs"/>
                <w:noProof/>
                <w:rtl/>
                <w:lang w:bidi="ar-MA"/>
              </w:rPr>
              <w:t xml:space="preserve"> بالنسبة المئوية</w:t>
            </w:r>
          </w:p>
        </w:tc>
        <w:tc>
          <w:tcPr>
            <w:tcW w:w="1417"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8.9</w:t>
            </w:r>
          </w:p>
        </w:tc>
        <w:tc>
          <w:tcPr>
            <w:tcW w:w="1418"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8.8</w:t>
            </w:r>
          </w:p>
        </w:tc>
        <w:tc>
          <w:tcPr>
            <w:tcW w:w="1559"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100</w:t>
            </w:r>
          </w:p>
        </w:tc>
        <w:tc>
          <w:tcPr>
            <w:tcW w:w="1450"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100</w:t>
            </w:r>
          </w:p>
        </w:tc>
      </w:tr>
      <w:tr w:rsidR="007D7E78" w:rsidTr="00E03687">
        <w:tc>
          <w:tcPr>
            <w:tcW w:w="3368" w:type="dxa"/>
            <w:shd w:val="clear" w:color="auto" w:fill="FBD4B4" w:themeFill="accent6" w:themeFillTint="66"/>
          </w:tcPr>
          <w:p w:rsidR="007D7E78" w:rsidRPr="007D7E78" w:rsidRDefault="007D7E78" w:rsidP="00E779F7">
            <w:pPr>
              <w:bidi/>
              <w:spacing w:after="120"/>
              <w:ind w:right="283"/>
              <w:rPr>
                <w:noProof/>
                <w:rtl/>
                <w:lang w:bidi="ar-MA"/>
              </w:rPr>
            </w:pPr>
            <w:r w:rsidRPr="007D7E78">
              <w:rPr>
                <w:rFonts w:hint="cs"/>
                <w:noProof/>
                <w:rtl/>
                <w:lang w:bidi="ar-MA"/>
              </w:rPr>
              <w:t>الناتج الداخلي الإجمالي</w:t>
            </w:r>
            <w:r>
              <w:rPr>
                <w:rFonts w:hint="cs"/>
                <w:noProof/>
                <w:rtl/>
                <w:lang w:bidi="ar-MA"/>
              </w:rPr>
              <w:t xml:space="preserve"> حسب الفرد بالدرهم</w:t>
            </w:r>
          </w:p>
        </w:tc>
        <w:tc>
          <w:tcPr>
            <w:tcW w:w="1417"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19</w:t>
            </w:r>
            <w:r w:rsidR="00BD6D24">
              <w:rPr>
                <w:rFonts w:ascii="Book Antiqua" w:hAnsi="Book Antiqua" w:hint="cs"/>
                <w:color w:val="000000"/>
                <w:rtl/>
              </w:rPr>
              <w:t xml:space="preserve"> </w:t>
            </w:r>
            <w:r w:rsidRPr="006D160C">
              <w:rPr>
                <w:rFonts w:ascii="Book Antiqua" w:hAnsi="Book Antiqua"/>
                <w:color w:val="000000"/>
              </w:rPr>
              <w:t>296</w:t>
            </w:r>
          </w:p>
        </w:tc>
        <w:tc>
          <w:tcPr>
            <w:tcW w:w="1418"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19</w:t>
            </w:r>
            <w:r w:rsidR="00BD6D24">
              <w:rPr>
                <w:rFonts w:ascii="Book Antiqua" w:hAnsi="Book Antiqua" w:hint="cs"/>
                <w:color w:val="000000"/>
                <w:rtl/>
              </w:rPr>
              <w:t xml:space="preserve"> </w:t>
            </w:r>
            <w:r w:rsidRPr="006D160C">
              <w:rPr>
                <w:rFonts w:ascii="Book Antiqua" w:hAnsi="Book Antiqua"/>
                <w:color w:val="000000"/>
              </w:rPr>
              <w:t>332</w:t>
            </w:r>
          </w:p>
        </w:tc>
        <w:tc>
          <w:tcPr>
            <w:tcW w:w="1559"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28</w:t>
            </w:r>
            <w:r w:rsidR="00BD6D24">
              <w:rPr>
                <w:rFonts w:ascii="Book Antiqua" w:hAnsi="Book Antiqua" w:hint="cs"/>
                <w:color w:val="000000"/>
                <w:rtl/>
              </w:rPr>
              <w:t xml:space="preserve"> </w:t>
            </w:r>
            <w:r w:rsidRPr="006D160C">
              <w:rPr>
                <w:rFonts w:ascii="Book Antiqua" w:hAnsi="Book Antiqua"/>
                <w:color w:val="000000"/>
              </w:rPr>
              <w:t>951</w:t>
            </w:r>
          </w:p>
        </w:tc>
        <w:tc>
          <w:tcPr>
            <w:tcW w:w="1450" w:type="dxa"/>
            <w:shd w:val="clear" w:color="auto" w:fill="F2DBDB" w:themeFill="accent2" w:themeFillTint="33"/>
          </w:tcPr>
          <w:p w:rsidR="007D7E78" w:rsidRPr="006D160C" w:rsidRDefault="000665F7" w:rsidP="006D160C">
            <w:pPr>
              <w:jc w:val="center"/>
              <w:rPr>
                <w:rFonts w:ascii="Book Antiqua" w:hAnsi="Book Antiqua"/>
                <w:color w:val="000000"/>
                <w:rtl/>
              </w:rPr>
            </w:pPr>
            <w:r w:rsidRPr="006D160C">
              <w:rPr>
                <w:rFonts w:ascii="Book Antiqua" w:hAnsi="Book Antiqua"/>
                <w:color w:val="000000"/>
              </w:rPr>
              <w:t>29</w:t>
            </w:r>
            <w:r w:rsidR="00BD6D24">
              <w:rPr>
                <w:rFonts w:ascii="Book Antiqua" w:hAnsi="Book Antiqua" w:hint="cs"/>
                <w:color w:val="000000"/>
                <w:rtl/>
              </w:rPr>
              <w:t xml:space="preserve"> </w:t>
            </w:r>
            <w:r w:rsidRPr="006D160C">
              <w:rPr>
                <w:rFonts w:ascii="Book Antiqua" w:hAnsi="Book Antiqua"/>
                <w:color w:val="000000"/>
              </w:rPr>
              <w:t>390</w:t>
            </w:r>
          </w:p>
        </w:tc>
      </w:tr>
    </w:tbl>
    <w:p w:rsidR="007D7E78" w:rsidRDefault="00101E96" w:rsidP="00CB2E8B">
      <w:pPr>
        <w:bidi/>
        <w:spacing w:after="0" w:line="240" w:lineRule="auto"/>
        <w:ind w:right="283"/>
        <w:rPr>
          <w:rFonts w:ascii="Book Antiqua" w:hAnsi="Book Antiqua" w:cs="Simplified Arabic"/>
          <w:sz w:val="16"/>
          <w:szCs w:val="16"/>
          <w:lang w:bidi="ar-MA"/>
        </w:rPr>
      </w:pPr>
      <w:r>
        <w:rPr>
          <w:rFonts w:ascii="Book Antiqua" w:hAnsi="Book Antiqua" w:cs="Simplified Arabic" w:hint="cs"/>
          <w:sz w:val="16"/>
          <w:szCs w:val="16"/>
          <w:rtl/>
          <w:lang w:bidi="ar-MA"/>
        </w:rPr>
        <w:t>*</w:t>
      </w:r>
      <w:r w:rsidRPr="00D909F3">
        <w:rPr>
          <w:rFonts w:ascii="Book Antiqua" w:hAnsi="Book Antiqua" w:cs="Simplified Arabic"/>
          <w:sz w:val="16"/>
          <w:szCs w:val="16"/>
          <w:rtl/>
          <w:lang w:bidi="ar-MA"/>
        </w:rPr>
        <w:t xml:space="preserve"> معطيات شبه-نهائية</w:t>
      </w:r>
    </w:p>
    <w:p w:rsidR="00552317" w:rsidRDefault="00552317" w:rsidP="00552317">
      <w:pPr>
        <w:bidi/>
        <w:spacing w:after="0" w:line="240" w:lineRule="auto"/>
        <w:ind w:right="283"/>
        <w:rPr>
          <w:rFonts w:hint="cs"/>
          <w:b/>
          <w:bCs/>
          <w:rtl/>
          <w:lang w:bidi="ar-MA"/>
        </w:rPr>
      </w:pPr>
    </w:p>
    <w:p w:rsidR="00E745E4" w:rsidRPr="00051ED3" w:rsidRDefault="00E745E4" w:rsidP="00E745E4">
      <w:pPr>
        <w:bidi/>
        <w:spacing w:after="0" w:line="240" w:lineRule="auto"/>
        <w:ind w:right="283"/>
        <w:rPr>
          <w:b/>
          <w:bCs/>
          <w:lang w:bidi="ar-MA"/>
        </w:rPr>
      </w:pPr>
    </w:p>
    <w:p w:rsidR="00E779F7" w:rsidRDefault="00E779F7" w:rsidP="00AA0AA2">
      <w:pPr>
        <w:tabs>
          <w:tab w:val="center" w:pos="4747"/>
          <w:tab w:val="right" w:pos="9212"/>
        </w:tabs>
        <w:bidi/>
        <w:spacing w:after="0" w:line="240" w:lineRule="auto"/>
        <w:ind w:right="283"/>
        <w:rPr>
          <w:b/>
          <w:bCs/>
          <w:rtl/>
          <w:lang w:bidi="ar-MA"/>
        </w:rPr>
      </w:pPr>
      <w:r w:rsidRPr="00051ED3">
        <w:rPr>
          <w:b/>
          <w:bCs/>
          <w:rtl/>
          <w:lang w:bidi="ar-MA"/>
        </w:rPr>
        <w:t xml:space="preserve">نفقات الاستهلاك النهائي للأسر(بالأسعار الجارية) </w:t>
      </w:r>
      <w:r w:rsidR="00AA0AA2">
        <w:rPr>
          <w:rFonts w:hint="cs"/>
          <w:b/>
          <w:bCs/>
          <w:rtl/>
          <w:lang w:bidi="ar-MA"/>
        </w:rPr>
        <w:t>بجهة مراكش-أسفي</w:t>
      </w:r>
      <w:r w:rsidR="00AA0AA2" w:rsidRPr="00051ED3">
        <w:rPr>
          <w:b/>
          <w:bCs/>
          <w:rtl/>
          <w:lang w:bidi="ar-MA"/>
        </w:rPr>
        <w:t xml:space="preserve"> </w:t>
      </w:r>
      <w:r w:rsidRPr="00051ED3">
        <w:rPr>
          <w:b/>
          <w:bCs/>
          <w:rtl/>
          <w:lang w:bidi="ar-MA"/>
        </w:rPr>
        <w:t>لسنـــــــتي 2015 و</w:t>
      </w:r>
      <w:r w:rsidRPr="00051ED3">
        <w:rPr>
          <w:rFonts w:hint="cs"/>
          <w:b/>
          <w:bCs/>
          <w:rtl/>
          <w:lang w:bidi="ar-MA"/>
        </w:rPr>
        <w:t xml:space="preserve"> 2</w:t>
      </w:r>
      <w:r w:rsidR="00890B77">
        <w:rPr>
          <w:rFonts w:hint="cs"/>
          <w:b/>
          <w:bCs/>
          <w:rtl/>
          <w:lang w:bidi="ar-MA"/>
        </w:rPr>
        <w:t>016</w:t>
      </w:r>
      <w:r w:rsidR="007841D0">
        <w:rPr>
          <w:rFonts w:hint="cs"/>
          <w:b/>
          <w:bCs/>
          <w:rtl/>
          <w:lang w:bidi="ar-MA"/>
        </w:rPr>
        <w:t>:</w:t>
      </w:r>
    </w:p>
    <w:tbl>
      <w:tblPr>
        <w:tblStyle w:val="Grilledutableau"/>
        <w:bidiVisual/>
        <w:tblW w:w="0" w:type="auto"/>
        <w:tblLook w:val="04A0"/>
      </w:tblPr>
      <w:tblGrid>
        <w:gridCol w:w="3935"/>
        <w:gridCol w:w="1417"/>
        <w:gridCol w:w="1134"/>
        <w:gridCol w:w="1418"/>
        <w:gridCol w:w="1308"/>
      </w:tblGrid>
      <w:tr w:rsidR="00C4660B" w:rsidTr="00BD6D24">
        <w:tc>
          <w:tcPr>
            <w:tcW w:w="3935" w:type="dxa"/>
            <w:vMerge w:val="restart"/>
            <w:shd w:val="clear" w:color="auto" w:fill="FBD4B4" w:themeFill="accent6" w:themeFillTint="66"/>
          </w:tcPr>
          <w:p w:rsidR="00C4660B" w:rsidRDefault="00C4660B" w:rsidP="0074684E">
            <w:pPr>
              <w:bidi/>
              <w:spacing w:after="120"/>
              <w:ind w:right="283"/>
              <w:rPr>
                <w:b/>
                <w:bCs/>
                <w:rtl/>
                <w:lang w:bidi="ar-MA"/>
              </w:rPr>
            </w:pPr>
          </w:p>
        </w:tc>
        <w:tc>
          <w:tcPr>
            <w:tcW w:w="2551"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جهة مراكش أسفي</w:t>
            </w:r>
          </w:p>
        </w:tc>
        <w:tc>
          <w:tcPr>
            <w:tcW w:w="2726"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على الصعيد الوطني</w:t>
            </w:r>
          </w:p>
        </w:tc>
      </w:tr>
      <w:tr w:rsidR="007269D2" w:rsidTr="00BD6D24">
        <w:tc>
          <w:tcPr>
            <w:tcW w:w="3935" w:type="dxa"/>
            <w:vMerge/>
          </w:tcPr>
          <w:p w:rsidR="007269D2" w:rsidRDefault="007269D2" w:rsidP="0074684E">
            <w:pPr>
              <w:bidi/>
              <w:spacing w:after="120"/>
              <w:ind w:right="283"/>
              <w:rPr>
                <w:b/>
                <w:bCs/>
                <w:rtl/>
                <w:lang w:bidi="ar-MA"/>
              </w:rPr>
            </w:pPr>
          </w:p>
        </w:tc>
        <w:tc>
          <w:tcPr>
            <w:tcW w:w="1417" w:type="dxa"/>
            <w:shd w:val="clear" w:color="auto" w:fill="FABF8F" w:themeFill="accent6" w:themeFillTint="99"/>
          </w:tcPr>
          <w:p w:rsidR="007269D2" w:rsidRDefault="007269D2" w:rsidP="0074684E">
            <w:pPr>
              <w:jc w:val="center"/>
              <w:rPr>
                <w:noProof/>
                <w:lang w:bidi="ar-MA"/>
              </w:rPr>
            </w:pPr>
            <w:r>
              <w:rPr>
                <w:rFonts w:hint="cs"/>
                <w:noProof/>
                <w:rtl/>
                <w:lang w:bidi="ar-MA"/>
              </w:rPr>
              <w:t>2015</w:t>
            </w:r>
          </w:p>
        </w:tc>
        <w:tc>
          <w:tcPr>
            <w:tcW w:w="1134" w:type="dxa"/>
            <w:shd w:val="clear" w:color="auto" w:fill="FABF8F" w:themeFill="accent6" w:themeFillTint="99"/>
          </w:tcPr>
          <w:p w:rsidR="007269D2" w:rsidRDefault="007269D2" w:rsidP="0074684E">
            <w:pPr>
              <w:jc w:val="center"/>
              <w:rPr>
                <w:noProof/>
                <w:lang w:bidi="ar-MA"/>
              </w:rPr>
            </w:pPr>
            <w:r>
              <w:rPr>
                <w:rFonts w:hint="cs"/>
                <w:noProof/>
                <w:rtl/>
                <w:lang w:bidi="ar-MA"/>
              </w:rPr>
              <w:t>2016</w:t>
            </w:r>
            <w:r w:rsidR="00101E96">
              <w:rPr>
                <w:rFonts w:hint="cs"/>
                <w:noProof/>
                <w:rtl/>
                <w:lang w:bidi="ar-MA"/>
              </w:rPr>
              <w:t>*</w:t>
            </w:r>
          </w:p>
        </w:tc>
        <w:tc>
          <w:tcPr>
            <w:tcW w:w="1418" w:type="dxa"/>
            <w:shd w:val="clear" w:color="auto" w:fill="FABF8F" w:themeFill="accent6" w:themeFillTint="99"/>
          </w:tcPr>
          <w:p w:rsidR="007269D2" w:rsidRDefault="007269D2" w:rsidP="0074684E">
            <w:pPr>
              <w:jc w:val="center"/>
              <w:rPr>
                <w:noProof/>
                <w:lang w:bidi="ar-MA"/>
              </w:rPr>
            </w:pPr>
            <w:r>
              <w:rPr>
                <w:rFonts w:hint="cs"/>
                <w:noProof/>
                <w:rtl/>
                <w:lang w:bidi="ar-MA"/>
              </w:rPr>
              <w:t>2015</w:t>
            </w:r>
          </w:p>
        </w:tc>
        <w:tc>
          <w:tcPr>
            <w:tcW w:w="1308" w:type="dxa"/>
            <w:shd w:val="clear" w:color="auto" w:fill="FABF8F" w:themeFill="accent6" w:themeFillTint="99"/>
          </w:tcPr>
          <w:p w:rsidR="007269D2" w:rsidRDefault="007269D2" w:rsidP="0074684E">
            <w:pPr>
              <w:jc w:val="center"/>
              <w:rPr>
                <w:noProof/>
                <w:lang w:bidi="ar-MA"/>
              </w:rPr>
            </w:pPr>
            <w:r>
              <w:rPr>
                <w:rFonts w:hint="cs"/>
                <w:noProof/>
                <w:rtl/>
                <w:lang w:bidi="ar-MA"/>
              </w:rPr>
              <w:t>2016</w:t>
            </w:r>
            <w:r w:rsidR="00101E96">
              <w:rPr>
                <w:rFonts w:hint="cs"/>
                <w:noProof/>
                <w:rtl/>
                <w:lang w:bidi="ar-MA"/>
              </w:rPr>
              <w:t>*</w:t>
            </w:r>
          </w:p>
        </w:tc>
      </w:tr>
      <w:tr w:rsidR="00C4660B" w:rsidRPr="000665F7" w:rsidTr="00BD6D24">
        <w:tc>
          <w:tcPr>
            <w:tcW w:w="3935" w:type="dxa"/>
            <w:shd w:val="clear" w:color="auto" w:fill="FBD4B4" w:themeFill="accent6" w:themeFillTint="66"/>
          </w:tcPr>
          <w:p w:rsidR="00C4660B" w:rsidRPr="007D7E78" w:rsidRDefault="00CF13A6" w:rsidP="0074684E">
            <w:pPr>
              <w:bidi/>
              <w:spacing w:after="120"/>
              <w:ind w:right="283"/>
              <w:rPr>
                <w:noProof/>
                <w:rtl/>
                <w:lang w:bidi="ar-MA"/>
              </w:rPr>
            </w:pPr>
            <w:r>
              <w:rPr>
                <w:rFonts w:hint="cs"/>
                <w:noProof/>
                <w:rtl/>
                <w:lang w:bidi="ar-MA"/>
              </w:rPr>
              <w:t>نفقات الاستهلاك النهائي للأسر (بملايين الدراهم)</w:t>
            </w:r>
          </w:p>
        </w:tc>
        <w:tc>
          <w:tcPr>
            <w:tcW w:w="1417" w:type="dxa"/>
            <w:shd w:val="clear" w:color="auto" w:fill="F2DBDB" w:themeFill="accent2" w:themeFillTint="33"/>
          </w:tcPr>
          <w:p w:rsidR="00BD6D24" w:rsidRPr="006D160C" w:rsidRDefault="00BD6D24" w:rsidP="00BD6D24">
            <w:pPr>
              <w:bidi/>
              <w:jc w:val="center"/>
              <w:rPr>
                <w:rFonts w:ascii="Book Antiqua" w:hAnsi="Book Antiqua"/>
                <w:color w:val="000000"/>
              </w:rPr>
            </w:pPr>
            <w:r>
              <w:rPr>
                <w:rFonts w:ascii="Book Antiqua" w:hAnsi="Book Antiqua"/>
                <w:color w:val="000000"/>
              </w:rPr>
              <w:t>62 323</w:t>
            </w:r>
          </w:p>
        </w:tc>
        <w:tc>
          <w:tcPr>
            <w:tcW w:w="1134" w:type="dxa"/>
            <w:shd w:val="clear" w:color="auto" w:fill="F2DBDB" w:themeFill="accent2" w:themeFillTint="33"/>
          </w:tcPr>
          <w:p w:rsidR="00C4660B" w:rsidRPr="006D160C" w:rsidRDefault="00BD6D24" w:rsidP="00BD6D24">
            <w:pPr>
              <w:bidi/>
              <w:jc w:val="center"/>
              <w:rPr>
                <w:rFonts w:ascii="Book Antiqua" w:hAnsi="Book Antiqua"/>
                <w:color w:val="000000"/>
                <w:rtl/>
              </w:rPr>
            </w:pPr>
            <w:r>
              <w:rPr>
                <w:rFonts w:ascii="Book Antiqua" w:hAnsi="Book Antiqua"/>
                <w:color w:val="000000"/>
              </w:rPr>
              <w:t>65 522</w:t>
            </w:r>
          </w:p>
        </w:tc>
        <w:tc>
          <w:tcPr>
            <w:tcW w:w="1418" w:type="dxa"/>
            <w:shd w:val="clear" w:color="auto" w:fill="F2DBDB" w:themeFill="accent2" w:themeFillTint="33"/>
          </w:tcPr>
          <w:p w:rsidR="00BD6D24" w:rsidRPr="006D160C" w:rsidRDefault="00BD6D24" w:rsidP="00BD6D24">
            <w:pPr>
              <w:bidi/>
              <w:jc w:val="center"/>
              <w:rPr>
                <w:rFonts w:ascii="Book Antiqua" w:hAnsi="Book Antiqua"/>
                <w:color w:val="000000"/>
                <w:rtl/>
              </w:rPr>
            </w:pPr>
            <w:r>
              <w:rPr>
                <w:rFonts w:ascii="Book Antiqua" w:hAnsi="Book Antiqua"/>
                <w:color w:val="000000"/>
              </w:rPr>
              <w:t>562 842</w:t>
            </w:r>
          </w:p>
        </w:tc>
        <w:tc>
          <w:tcPr>
            <w:tcW w:w="1308" w:type="dxa"/>
            <w:shd w:val="clear" w:color="auto" w:fill="F2DBDB" w:themeFill="accent2" w:themeFillTint="33"/>
          </w:tcPr>
          <w:p w:rsidR="00BD6D24" w:rsidRPr="006D160C" w:rsidRDefault="00BD6D24" w:rsidP="00BD6D24">
            <w:pPr>
              <w:bidi/>
              <w:jc w:val="center"/>
              <w:rPr>
                <w:rFonts w:ascii="Book Antiqua" w:hAnsi="Book Antiqua"/>
                <w:color w:val="000000"/>
                <w:rtl/>
              </w:rPr>
            </w:pPr>
            <w:r>
              <w:rPr>
                <w:rFonts w:ascii="Book Antiqua" w:hAnsi="Book Antiqua"/>
                <w:color w:val="000000"/>
              </w:rPr>
              <w:t>585 359</w:t>
            </w:r>
          </w:p>
        </w:tc>
      </w:tr>
      <w:tr w:rsidR="00C4660B" w:rsidRPr="000665F7" w:rsidTr="00BD6D24">
        <w:tc>
          <w:tcPr>
            <w:tcW w:w="3935" w:type="dxa"/>
            <w:shd w:val="clear" w:color="auto" w:fill="FBD4B4" w:themeFill="accent6" w:themeFillTint="66"/>
          </w:tcPr>
          <w:p w:rsidR="00C4660B" w:rsidRPr="007D7E78" w:rsidRDefault="00CB2E8B" w:rsidP="0074684E">
            <w:pPr>
              <w:bidi/>
              <w:spacing w:after="120"/>
              <w:ind w:right="283"/>
              <w:rPr>
                <w:noProof/>
                <w:rtl/>
                <w:lang w:bidi="ar-MA"/>
              </w:rPr>
            </w:pPr>
            <w:r>
              <w:rPr>
                <w:rFonts w:hint="cs"/>
                <w:noProof/>
                <w:rtl/>
                <w:lang w:bidi="ar-MA"/>
              </w:rPr>
              <w:t>نفقات الاستهلاك النهائي للأسر (بالنسبة المئوية)</w:t>
            </w:r>
          </w:p>
        </w:tc>
        <w:tc>
          <w:tcPr>
            <w:tcW w:w="1417" w:type="dxa"/>
            <w:shd w:val="clear" w:color="auto" w:fill="F2DBDB" w:themeFill="accent2" w:themeFillTint="33"/>
          </w:tcPr>
          <w:p w:rsidR="00C4660B" w:rsidRPr="006D160C" w:rsidRDefault="00CB2E8B" w:rsidP="00BD6D24">
            <w:pPr>
              <w:bidi/>
              <w:jc w:val="center"/>
              <w:rPr>
                <w:rFonts w:ascii="Book Antiqua" w:hAnsi="Book Antiqua"/>
                <w:color w:val="000000"/>
                <w:rtl/>
              </w:rPr>
            </w:pPr>
            <w:r w:rsidRPr="006D160C">
              <w:rPr>
                <w:rFonts w:ascii="Book Antiqua" w:hAnsi="Book Antiqua" w:hint="cs"/>
                <w:color w:val="000000"/>
                <w:rtl/>
              </w:rPr>
              <w:t>11.1</w:t>
            </w:r>
          </w:p>
        </w:tc>
        <w:tc>
          <w:tcPr>
            <w:tcW w:w="1134" w:type="dxa"/>
            <w:shd w:val="clear" w:color="auto" w:fill="F2DBDB" w:themeFill="accent2" w:themeFillTint="33"/>
          </w:tcPr>
          <w:p w:rsidR="00C4660B" w:rsidRPr="006D160C" w:rsidRDefault="00CB2E8B" w:rsidP="00BD6D24">
            <w:pPr>
              <w:bidi/>
              <w:jc w:val="center"/>
              <w:rPr>
                <w:rFonts w:ascii="Book Antiqua" w:hAnsi="Book Antiqua"/>
                <w:color w:val="000000"/>
                <w:rtl/>
              </w:rPr>
            </w:pPr>
            <w:r w:rsidRPr="006D160C">
              <w:rPr>
                <w:rFonts w:ascii="Book Antiqua" w:hAnsi="Book Antiqua" w:hint="cs"/>
                <w:color w:val="000000"/>
                <w:rtl/>
              </w:rPr>
              <w:t>11.2</w:t>
            </w:r>
          </w:p>
        </w:tc>
        <w:tc>
          <w:tcPr>
            <w:tcW w:w="1418" w:type="dxa"/>
            <w:shd w:val="clear" w:color="auto" w:fill="F2DBDB" w:themeFill="accent2" w:themeFillTint="33"/>
          </w:tcPr>
          <w:p w:rsidR="00C4660B" w:rsidRPr="006D160C" w:rsidRDefault="00CB2E8B" w:rsidP="00BD6D24">
            <w:pPr>
              <w:bidi/>
              <w:jc w:val="center"/>
              <w:rPr>
                <w:rFonts w:ascii="Book Antiqua" w:hAnsi="Book Antiqua"/>
                <w:color w:val="000000"/>
                <w:rtl/>
              </w:rPr>
            </w:pPr>
            <w:r w:rsidRPr="006D160C">
              <w:rPr>
                <w:rFonts w:ascii="Book Antiqua" w:hAnsi="Book Antiqua" w:hint="cs"/>
                <w:color w:val="000000"/>
                <w:rtl/>
              </w:rPr>
              <w:t>100</w:t>
            </w:r>
          </w:p>
        </w:tc>
        <w:tc>
          <w:tcPr>
            <w:tcW w:w="1308" w:type="dxa"/>
            <w:shd w:val="clear" w:color="auto" w:fill="F2DBDB" w:themeFill="accent2" w:themeFillTint="33"/>
          </w:tcPr>
          <w:p w:rsidR="00C4660B" w:rsidRPr="006D160C" w:rsidRDefault="00CB2E8B" w:rsidP="00BD6D24">
            <w:pPr>
              <w:bidi/>
              <w:jc w:val="center"/>
              <w:rPr>
                <w:rFonts w:ascii="Book Antiqua" w:hAnsi="Book Antiqua"/>
                <w:color w:val="000000"/>
                <w:rtl/>
              </w:rPr>
            </w:pPr>
            <w:r w:rsidRPr="006D160C">
              <w:rPr>
                <w:rFonts w:ascii="Book Antiqua" w:hAnsi="Book Antiqua" w:hint="cs"/>
                <w:color w:val="000000"/>
                <w:rtl/>
              </w:rPr>
              <w:t>100</w:t>
            </w:r>
          </w:p>
        </w:tc>
      </w:tr>
      <w:tr w:rsidR="00C4660B" w:rsidRPr="000665F7" w:rsidTr="00BD6D24">
        <w:tc>
          <w:tcPr>
            <w:tcW w:w="3935" w:type="dxa"/>
            <w:shd w:val="clear" w:color="auto" w:fill="FBD4B4" w:themeFill="accent6" w:themeFillTint="66"/>
          </w:tcPr>
          <w:p w:rsidR="00C4660B" w:rsidRPr="007D7E78" w:rsidRDefault="00CB2E8B" w:rsidP="0074684E">
            <w:pPr>
              <w:bidi/>
              <w:spacing w:after="120"/>
              <w:ind w:right="283"/>
              <w:rPr>
                <w:noProof/>
                <w:rtl/>
                <w:lang w:bidi="ar-MA"/>
              </w:rPr>
            </w:pPr>
            <w:r>
              <w:rPr>
                <w:rFonts w:hint="cs"/>
                <w:noProof/>
                <w:rtl/>
                <w:lang w:bidi="ar-MA"/>
              </w:rPr>
              <w:t>نفقات الاستهلاك النهائي الفرد بالدرهم</w:t>
            </w:r>
          </w:p>
        </w:tc>
        <w:tc>
          <w:tcPr>
            <w:tcW w:w="1417" w:type="dxa"/>
            <w:shd w:val="clear" w:color="auto" w:fill="F2DBDB" w:themeFill="accent2" w:themeFillTint="33"/>
          </w:tcPr>
          <w:p w:rsidR="00BD6D24" w:rsidRPr="006D160C" w:rsidRDefault="00BD6D24" w:rsidP="00D23CA3">
            <w:pPr>
              <w:bidi/>
              <w:jc w:val="center"/>
              <w:rPr>
                <w:rFonts w:ascii="Book Antiqua" w:hAnsi="Book Antiqua"/>
                <w:color w:val="000000"/>
                <w:rtl/>
              </w:rPr>
            </w:pPr>
            <w:r>
              <w:rPr>
                <w:rFonts w:ascii="Book Antiqua" w:hAnsi="Book Antiqua"/>
                <w:color w:val="000000"/>
              </w:rPr>
              <w:t>13 6</w:t>
            </w:r>
            <w:r w:rsidR="00D23CA3">
              <w:rPr>
                <w:rFonts w:ascii="Book Antiqua" w:hAnsi="Book Antiqua"/>
                <w:color w:val="000000"/>
              </w:rPr>
              <w:t>8</w:t>
            </w:r>
            <w:r>
              <w:rPr>
                <w:rFonts w:ascii="Book Antiqua" w:hAnsi="Book Antiqua"/>
                <w:color w:val="000000"/>
              </w:rPr>
              <w:t>3</w:t>
            </w:r>
          </w:p>
        </w:tc>
        <w:tc>
          <w:tcPr>
            <w:tcW w:w="1134" w:type="dxa"/>
            <w:shd w:val="clear" w:color="auto" w:fill="F2DBDB" w:themeFill="accent2" w:themeFillTint="33"/>
          </w:tcPr>
          <w:p w:rsidR="00BD6D24" w:rsidRPr="006D160C" w:rsidRDefault="00BD6D24" w:rsidP="00BD6D24">
            <w:pPr>
              <w:bidi/>
              <w:jc w:val="center"/>
              <w:rPr>
                <w:rFonts w:ascii="Book Antiqua" w:hAnsi="Book Antiqua"/>
                <w:color w:val="000000"/>
                <w:rtl/>
              </w:rPr>
            </w:pPr>
            <w:r>
              <w:rPr>
                <w:rFonts w:ascii="Book Antiqua" w:hAnsi="Book Antiqua"/>
                <w:color w:val="000000"/>
              </w:rPr>
              <w:t>14 246</w:t>
            </w:r>
          </w:p>
        </w:tc>
        <w:tc>
          <w:tcPr>
            <w:tcW w:w="1418" w:type="dxa"/>
            <w:shd w:val="clear" w:color="auto" w:fill="F2DBDB" w:themeFill="accent2" w:themeFillTint="33"/>
          </w:tcPr>
          <w:p w:rsidR="00BD6D24" w:rsidRPr="006D160C" w:rsidRDefault="00BD6D24" w:rsidP="00BD6D24">
            <w:pPr>
              <w:bidi/>
              <w:jc w:val="center"/>
              <w:rPr>
                <w:rFonts w:ascii="Book Antiqua" w:hAnsi="Book Antiqua"/>
                <w:color w:val="000000"/>
                <w:rtl/>
              </w:rPr>
            </w:pPr>
            <w:r>
              <w:rPr>
                <w:rFonts w:ascii="Book Antiqua" w:hAnsi="Book Antiqua"/>
                <w:color w:val="000000"/>
              </w:rPr>
              <w:t>16 494</w:t>
            </w:r>
          </w:p>
        </w:tc>
        <w:tc>
          <w:tcPr>
            <w:tcW w:w="1308" w:type="dxa"/>
            <w:shd w:val="clear" w:color="auto" w:fill="F2DBDB" w:themeFill="accent2" w:themeFillTint="33"/>
          </w:tcPr>
          <w:p w:rsidR="00C4660B" w:rsidRPr="006D160C" w:rsidRDefault="00BD6D24" w:rsidP="00BD6D24">
            <w:pPr>
              <w:bidi/>
              <w:jc w:val="center"/>
              <w:rPr>
                <w:rFonts w:ascii="Book Antiqua" w:hAnsi="Book Antiqua"/>
                <w:color w:val="000000"/>
                <w:rtl/>
              </w:rPr>
            </w:pPr>
            <w:r>
              <w:rPr>
                <w:rFonts w:ascii="Book Antiqua" w:hAnsi="Book Antiqua"/>
                <w:color w:val="000000"/>
              </w:rPr>
              <w:t>16 974</w:t>
            </w:r>
          </w:p>
        </w:tc>
      </w:tr>
    </w:tbl>
    <w:p w:rsidR="00CB2E8B" w:rsidRDefault="00101E96" w:rsidP="00CB2E8B">
      <w:pPr>
        <w:bidi/>
        <w:spacing w:after="0" w:line="240" w:lineRule="auto"/>
        <w:ind w:right="283"/>
        <w:rPr>
          <w:b/>
          <w:bCs/>
          <w:rtl/>
          <w:lang w:bidi="ar-MA"/>
        </w:rPr>
      </w:pPr>
      <w:r>
        <w:rPr>
          <w:rFonts w:ascii="Book Antiqua" w:hAnsi="Book Antiqua" w:cs="Simplified Arabic" w:hint="cs"/>
          <w:sz w:val="16"/>
          <w:szCs w:val="16"/>
          <w:rtl/>
          <w:lang w:bidi="ar-MA"/>
        </w:rPr>
        <w:t>*</w:t>
      </w:r>
      <w:r w:rsidRPr="00D909F3">
        <w:rPr>
          <w:rFonts w:ascii="Book Antiqua" w:hAnsi="Book Antiqua" w:cs="Simplified Arabic"/>
          <w:sz w:val="16"/>
          <w:szCs w:val="16"/>
          <w:rtl/>
          <w:lang w:bidi="ar-MA"/>
        </w:rPr>
        <w:t xml:space="preserve"> معطيات شبه-نهائية</w:t>
      </w:r>
    </w:p>
    <w:p w:rsidR="00552317" w:rsidRDefault="00552317" w:rsidP="00552317">
      <w:pPr>
        <w:bidi/>
        <w:spacing w:after="0" w:line="240" w:lineRule="auto"/>
        <w:ind w:right="283"/>
        <w:rPr>
          <w:rFonts w:hint="cs"/>
          <w:b/>
          <w:bCs/>
          <w:rtl/>
          <w:lang w:bidi="ar-MA"/>
        </w:rPr>
      </w:pPr>
    </w:p>
    <w:p w:rsidR="00E745E4" w:rsidRDefault="00E745E4" w:rsidP="00E745E4">
      <w:pPr>
        <w:bidi/>
        <w:spacing w:after="0" w:line="240" w:lineRule="auto"/>
        <w:ind w:right="283"/>
        <w:rPr>
          <w:b/>
          <w:bCs/>
          <w:lang w:bidi="ar-MA"/>
        </w:rPr>
      </w:pPr>
    </w:p>
    <w:p w:rsidR="00E779F7" w:rsidRDefault="00E779F7" w:rsidP="00552317">
      <w:pPr>
        <w:bidi/>
        <w:spacing w:after="0" w:line="240" w:lineRule="auto"/>
        <w:ind w:right="283"/>
        <w:rPr>
          <w:b/>
          <w:bCs/>
          <w:lang w:bidi="ar-MA"/>
        </w:rPr>
      </w:pPr>
      <w:r w:rsidRPr="00051ED3">
        <w:rPr>
          <w:b/>
          <w:bCs/>
          <w:rtl/>
          <w:lang w:bidi="ar-MA"/>
        </w:rPr>
        <w:t>الناتج الداخلي الإجمالي</w:t>
      </w:r>
      <w:r w:rsidR="00AA0AA2" w:rsidRPr="00051ED3">
        <w:rPr>
          <w:b/>
          <w:bCs/>
          <w:rtl/>
          <w:lang w:bidi="ar-MA"/>
        </w:rPr>
        <w:t xml:space="preserve">(بالأسعار الجارية) </w:t>
      </w:r>
      <w:r w:rsidRPr="00051ED3">
        <w:rPr>
          <w:b/>
          <w:bCs/>
          <w:rtl/>
          <w:lang w:bidi="ar-MA"/>
        </w:rPr>
        <w:t xml:space="preserve"> حسب النشاط الاقتصادي على مستوى </w:t>
      </w:r>
      <w:r w:rsidR="00AA0AA2">
        <w:rPr>
          <w:rFonts w:hint="cs"/>
          <w:b/>
          <w:bCs/>
          <w:rtl/>
          <w:lang w:bidi="ar-MA"/>
        </w:rPr>
        <w:t>جهة مراكش-أسفي</w:t>
      </w:r>
      <w:r>
        <w:rPr>
          <w:rFonts w:hint="cs"/>
          <w:b/>
          <w:bCs/>
          <w:rtl/>
          <w:lang w:bidi="ar-MA"/>
        </w:rPr>
        <w:t xml:space="preserve"> </w:t>
      </w:r>
      <w:r w:rsidRPr="00051ED3">
        <w:rPr>
          <w:b/>
          <w:bCs/>
          <w:rtl/>
          <w:lang w:bidi="ar-MA"/>
        </w:rPr>
        <w:t>لسنـــــــتي 2015 و 2016 (بملايين الدراهـــــــــــــــم)</w:t>
      </w:r>
      <w:r w:rsidR="00890B77">
        <w:rPr>
          <w:rFonts w:hint="cs"/>
          <w:b/>
          <w:bCs/>
          <w:rtl/>
          <w:lang w:bidi="ar-MA"/>
        </w:rPr>
        <w:t>:</w:t>
      </w:r>
    </w:p>
    <w:tbl>
      <w:tblPr>
        <w:tblStyle w:val="Grilledutableau"/>
        <w:bidiVisual/>
        <w:tblW w:w="0" w:type="auto"/>
        <w:tblLook w:val="04A0"/>
      </w:tblPr>
      <w:tblGrid>
        <w:gridCol w:w="3368"/>
        <w:gridCol w:w="1417"/>
        <w:gridCol w:w="1418"/>
        <w:gridCol w:w="1559"/>
        <w:gridCol w:w="1450"/>
      </w:tblGrid>
      <w:tr w:rsidR="00C4660B" w:rsidTr="00E03687">
        <w:tc>
          <w:tcPr>
            <w:tcW w:w="3368" w:type="dxa"/>
            <w:vMerge w:val="restart"/>
            <w:shd w:val="clear" w:color="auto" w:fill="FBD4B4" w:themeFill="accent6" w:themeFillTint="66"/>
          </w:tcPr>
          <w:p w:rsidR="00C4660B" w:rsidRDefault="00C4660B" w:rsidP="0074684E">
            <w:pPr>
              <w:bidi/>
              <w:spacing w:after="120"/>
              <w:ind w:right="283"/>
              <w:rPr>
                <w:b/>
                <w:bCs/>
                <w:rtl/>
                <w:lang w:bidi="ar-MA"/>
              </w:rPr>
            </w:pPr>
          </w:p>
        </w:tc>
        <w:tc>
          <w:tcPr>
            <w:tcW w:w="2835"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جهة مراكش أسفي</w:t>
            </w:r>
          </w:p>
        </w:tc>
        <w:tc>
          <w:tcPr>
            <w:tcW w:w="3009"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على الصعيد الوطني</w:t>
            </w:r>
          </w:p>
        </w:tc>
      </w:tr>
      <w:tr w:rsidR="007269D2" w:rsidTr="00E03687">
        <w:tc>
          <w:tcPr>
            <w:tcW w:w="3368" w:type="dxa"/>
            <w:vMerge/>
          </w:tcPr>
          <w:p w:rsidR="007269D2" w:rsidRDefault="007269D2" w:rsidP="0074684E">
            <w:pPr>
              <w:bidi/>
              <w:spacing w:after="120"/>
              <w:ind w:right="283"/>
              <w:rPr>
                <w:b/>
                <w:bCs/>
                <w:rtl/>
                <w:lang w:bidi="ar-MA"/>
              </w:rPr>
            </w:pPr>
          </w:p>
        </w:tc>
        <w:tc>
          <w:tcPr>
            <w:tcW w:w="1417" w:type="dxa"/>
            <w:shd w:val="clear" w:color="auto" w:fill="FABF8F" w:themeFill="accent6" w:themeFillTint="99"/>
          </w:tcPr>
          <w:p w:rsidR="007269D2" w:rsidRDefault="007269D2" w:rsidP="0074684E">
            <w:pPr>
              <w:jc w:val="center"/>
              <w:rPr>
                <w:noProof/>
                <w:lang w:bidi="ar-MA"/>
              </w:rPr>
            </w:pPr>
            <w:r>
              <w:rPr>
                <w:rFonts w:hint="cs"/>
                <w:noProof/>
                <w:rtl/>
                <w:lang w:bidi="ar-MA"/>
              </w:rPr>
              <w:t>2015</w:t>
            </w:r>
          </w:p>
        </w:tc>
        <w:tc>
          <w:tcPr>
            <w:tcW w:w="1418" w:type="dxa"/>
            <w:shd w:val="clear" w:color="auto" w:fill="FABF8F" w:themeFill="accent6" w:themeFillTint="99"/>
          </w:tcPr>
          <w:p w:rsidR="007269D2" w:rsidRDefault="007269D2" w:rsidP="0074684E">
            <w:pPr>
              <w:jc w:val="center"/>
              <w:rPr>
                <w:noProof/>
                <w:lang w:bidi="ar-MA"/>
              </w:rPr>
            </w:pPr>
            <w:r>
              <w:rPr>
                <w:rFonts w:hint="cs"/>
                <w:noProof/>
                <w:rtl/>
                <w:lang w:bidi="ar-MA"/>
              </w:rPr>
              <w:t>2016</w:t>
            </w:r>
            <w:r w:rsidR="00101E96">
              <w:rPr>
                <w:rFonts w:hint="cs"/>
                <w:noProof/>
                <w:rtl/>
                <w:lang w:bidi="ar-MA"/>
              </w:rPr>
              <w:t>*</w:t>
            </w:r>
          </w:p>
        </w:tc>
        <w:tc>
          <w:tcPr>
            <w:tcW w:w="1559" w:type="dxa"/>
            <w:shd w:val="clear" w:color="auto" w:fill="FABF8F" w:themeFill="accent6" w:themeFillTint="99"/>
          </w:tcPr>
          <w:p w:rsidR="007269D2" w:rsidRDefault="007269D2" w:rsidP="0074684E">
            <w:pPr>
              <w:jc w:val="center"/>
              <w:rPr>
                <w:noProof/>
                <w:lang w:bidi="ar-MA"/>
              </w:rPr>
            </w:pPr>
            <w:r>
              <w:rPr>
                <w:rFonts w:hint="cs"/>
                <w:noProof/>
                <w:rtl/>
                <w:lang w:bidi="ar-MA"/>
              </w:rPr>
              <w:t>2015</w:t>
            </w:r>
          </w:p>
        </w:tc>
        <w:tc>
          <w:tcPr>
            <w:tcW w:w="1450" w:type="dxa"/>
            <w:shd w:val="clear" w:color="auto" w:fill="FABF8F" w:themeFill="accent6" w:themeFillTint="99"/>
          </w:tcPr>
          <w:p w:rsidR="007269D2" w:rsidRDefault="007269D2" w:rsidP="00FD2A5E">
            <w:pPr>
              <w:jc w:val="center"/>
              <w:rPr>
                <w:noProof/>
                <w:lang w:bidi="ar-MA"/>
              </w:rPr>
            </w:pPr>
            <w:r>
              <w:rPr>
                <w:rFonts w:hint="cs"/>
                <w:noProof/>
                <w:rtl/>
                <w:lang w:bidi="ar-MA"/>
              </w:rPr>
              <w:t>201</w:t>
            </w:r>
            <w:r w:rsidR="00FD2A5E">
              <w:rPr>
                <w:rFonts w:hint="cs"/>
                <w:noProof/>
                <w:rtl/>
                <w:lang w:bidi="ar-MA"/>
              </w:rPr>
              <w:t>6</w:t>
            </w:r>
            <w:r w:rsidR="00101E96">
              <w:rPr>
                <w:rFonts w:hint="cs"/>
                <w:noProof/>
                <w:rtl/>
                <w:lang w:bidi="ar-MA"/>
              </w:rPr>
              <w:t>*</w:t>
            </w:r>
          </w:p>
        </w:tc>
      </w:tr>
      <w:tr w:rsidR="00C4660B" w:rsidRPr="000665F7" w:rsidTr="00E03687">
        <w:tc>
          <w:tcPr>
            <w:tcW w:w="3368" w:type="dxa"/>
            <w:shd w:val="clear" w:color="auto" w:fill="FBD4B4" w:themeFill="accent6" w:themeFillTint="66"/>
          </w:tcPr>
          <w:p w:rsidR="00C4660B" w:rsidRPr="007D7E78" w:rsidRDefault="00AA0AA2" w:rsidP="0074684E">
            <w:pPr>
              <w:bidi/>
              <w:spacing w:after="120"/>
              <w:ind w:right="283"/>
              <w:rPr>
                <w:noProof/>
                <w:rtl/>
                <w:lang w:bidi="ar-MA"/>
              </w:rPr>
            </w:pPr>
            <w:r>
              <w:rPr>
                <w:rFonts w:hint="cs"/>
                <w:noProof/>
                <w:rtl/>
                <w:lang w:bidi="ar-MA"/>
              </w:rPr>
              <w:t>القطاع الأولي</w:t>
            </w:r>
          </w:p>
        </w:tc>
        <w:tc>
          <w:tcPr>
            <w:tcW w:w="1417" w:type="dxa"/>
            <w:shd w:val="clear" w:color="auto" w:fill="F2DBDB" w:themeFill="accent2" w:themeFillTint="33"/>
          </w:tcPr>
          <w:p w:rsidR="00C4660B" w:rsidRPr="006D160C" w:rsidRDefault="007269D2" w:rsidP="006D160C">
            <w:pPr>
              <w:jc w:val="center"/>
              <w:rPr>
                <w:rFonts w:ascii="Book Antiqua" w:hAnsi="Book Antiqua"/>
                <w:color w:val="000000"/>
              </w:rPr>
            </w:pPr>
            <w:r w:rsidRPr="006D160C">
              <w:rPr>
                <w:rFonts w:ascii="Book Antiqua" w:hAnsi="Book Antiqua" w:hint="cs"/>
                <w:color w:val="000000"/>
                <w:rtl/>
              </w:rPr>
              <w:t>16</w:t>
            </w:r>
            <w:r w:rsidR="00BD6D24">
              <w:rPr>
                <w:rFonts w:ascii="Book Antiqua" w:hAnsi="Book Antiqua"/>
                <w:color w:val="000000"/>
              </w:rPr>
              <w:t xml:space="preserve"> </w:t>
            </w:r>
            <w:r w:rsidRPr="006D160C">
              <w:rPr>
                <w:rFonts w:ascii="Book Antiqua" w:hAnsi="Book Antiqua" w:hint="cs"/>
                <w:color w:val="000000"/>
                <w:rtl/>
              </w:rPr>
              <w:t>326</w:t>
            </w:r>
          </w:p>
        </w:tc>
        <w:tc>
          <w:tcPr>
            <w:tcW w:w="1418"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13</w:t>
            </w:r>
            <w:r w:rsidR="00BD6D24">
              <w:rPr>
                <w:rFonts w:ascii="Book Antiqua" w:hAnsi="Book Antiqua"/>
                <w:color w:val="000000"/>
              </w:rPr>
              <w:t xml:space="preserve"> </w:t>
            </w:r>
            <w:r w:rsidRPr="006D160C">
              <w:rPr>
                <w:rFonts w:ascii="Book Antiqua" w:hAnsi="Book Antiqua" w:hint="cs"/>
                <w:color w:val="000000"/>
                <w:rtl/>
              </w:rPr>
              <w:t>684</w:t>
            </w:r>
          </w:p>
        </w:tc>
        <w:tc>
          <w:tcPr>
            <w:tcW w:w="1559"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124</w:t>
            </w:r>
            <w:r w:rsidR="00BD6D24">
              <w:rPr>
                <w:rFonts w:ascii="Book Antiqua" w:hAnsi="Book Antiqua"/>
                <w:color w:val="000000"/>
              </w:rPr>
              <w:t xml:space="preserve"> </w:t>
            </w:r>
            <w:r w:rsidRPr="006D160C">
              <w:rPr>
                <w:rFonts w:ascii="Book Antiqua" w:hAnsi="Book Antiqua" w:hint="cs"/>
                <w:color w:val="000000"/>
                <w:rtl/>
              </w:rPr>
              <w:t>759</w:t>
            </w:r>
          </w:p>
        </w:tc>
        <w:tc>
          <w:tcPr>
            <w:tcW w:w="1450"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121</w:t>
            </w:r>
            <w:r w:rsidR="00BD6D24">
              <w:rPr>
                <w:rFonts w:ascii="Book Antiqua" w:hAnsi="Book Antiqua"/>
                <w:color w:val="000000"/>
              </w:rPr>
              <w:t xml:space="preserve"> </w:t>
            </w:r>
            <w:r w:rsidRPr="006D160C">
              <w:rPr>
                <w:rFonts w:ascii="Book Antiqua" w:hAnsi="Book Antiqua" w:hint="cs"/>
                <w:color w:val="000000"/>
                <w:rtl/>
              </w:rPr>
              <w:t>556</w:t>
            </w:r>
          </w:p>
        </w:tc>
      </w:tr>
      <w:tr w:rsidR="00C4660B" w:rsidRPr="000665F7" w:rsidTr="00E03687">
        <w:tc>
          <w:tcPr>
            <w:tcW w:w="3368" w:type="dxa"/>
            <w:shd w:val="clear" w:color="auto" w:fill="FBD4B4" w:themeFill="accent6" w:themeFillTint="66"/>
          </w:tcPr>
          <w:p w:rsidR="00C4660B" w:rsidRPr="007D7E78" w:rsidRDefault="00AA0AA2" w:rsidP="0074684E">
            <w:pPr>
              <w:bidi/>
              <w:spacing w:after="120"/>
              <w:ind w:right="283"/>
              <w:rPr>
                <w:noProof/>
                <w:rtl/>
                <w:lang w:bidi="ar-MA"/>
              </w:rPr>
            </w:pPr>
            <w:r>
              <w:rPr>
                <w:rFonts w:hint="cs"/>
                <w:noProof/>
                <w:rtl/>
                <w:lang w:bidi="ar-MA"/>
              </w:rPr>
              <w:t>القطاع الثانوي</w:t>
            </w:r>
          </w:p>
        </w:tc>
        <w:tc>
          <w:tcPr>
            <w:tcW w:w="1417"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17</w:t>
            </w:r>
            <w:r w:rsidR="00BD6D24">
              <w:rPr>
                <w:rFonts w:ascii="Book Antiqua" w:hAnsi="Book Antiqua"/>
                <w:color w:val="000000"/>
              </w:rPr>
              <w:t xml:space="preserve"> </w:t>
            </w:r>
            <w:r w:rsidRPr="006D160C">
              <w:rPr>
                <w:rFonts w:ascii="Book Antiqua" w:hAnsi="Book Antiqua" w:hint="cs"/>
                <w:color w:val="000000"/>
                <w:rtl/>
              </w:rPr>
              <w:t>881</w:t>
            </w:r>
          </w:p>
        </w:tc>
        <w:tc>
          <w:tcPr>
            <w:tcW w:w="1418"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17</w:t>
            </w:r>
            <w:r w:rsidR="00BD6D24">
              <w:rPr>
                <w:rFonts w:ascii="Book Antiqua" w:hAnsi="Book Antiqua"/>
                <w:color w:val="000000"/>
              </w:rPr>
              <w:t xml:space="preserve"> </w:t>
            </w:r>
            <w:r w:rsidRPr="006D160C">
              <w:rPr>
                <w:rFonts w:ascii="Book Antiqua" w:hAnsi="Book Antiqua" w:hint="cs"/>
                <w:color w:val="000000"/>
                <w:rtl/>
              </w:rPr>
              <w:t>459</w:t>
            </w:r>
          </w:p>
        </w:tc>
        <w:tc>
          <w:tcPr>
            <w:tcW w:w="1559"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257</w:t>
            </w:r>
            <w:r w:rsidR="00BD6D24">
              <w:rPr>
                <w:rFonts w:ascii="Book Antiqua" w:hAnsi="Book Antiqua"/>
                <w:color w:val="000000"/>
              </w:rPr>
              <w:t xml:space="preserve"> </w:t>
            </w:r>
            <w:r w:rsidRPr="006D160C">
              <w:rPr>
                <w:rFonts w:ascii="Book Antiqua" w:hAnsi="Book Antiqua" w:hint="cs"/>
                <w:color w:val="000000"/>
                <w:rtl/>
              </w:rPr>
              <w:t>796</w:t>
            </w:r>
          </w:p>
        </w:tc>
        <w:tc>
          <w:tcPr>
            <w:tcW w:w="1450"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263</w:t>
            </w:r>
            <w:r w:rsidR="00BD6D24">
              <w:rPr>
                <w:rFonts w:ascii="Book Antiqua" w:hAnsi="Book Antiqua"/>
                <w:color w:val="000000"/>
              </w:rPr>
              <w:t xml:space="preserve"> </w:t>
            </w:r>
            <w:r w:rsidRPr="006D160C">
              <w:rPr>
                <w:rFonts w:ascii="Book Antiqua" w:hAnsi="Book Antiqua" w:hint="cs"/>
                <w:color w:val="000000"/>
                <w:rtl/>
              </w:rPr>
              <w:t>384</w:t>
            </w:r>
          </w:p>
        </w:tc>
      </w:tr>
      <w:tr w:rsidR="00C4660B" w:rsidRPr="000665F7" w:rsidTr="00E03687">
        <w:tc>
          <w:tcPr>
            <w:tcW w:w="3368" w:type="dxa"/>
            <w:shd w:val="clear" w:color="auto" w:fill="FBD4B4" w:themeFill="accent6" w:themeFillTint="66"/>
          </w:tcPr>
          <w:p w:rsidR="00C4660B" w:rsidRPr="007D7E78" w:rsidRDefault="00AA0AA2" w:rsidP="0074684E">
            <w:pPr>
              <w:bidi/>
              <w:spacing w:after="120"/>
              <w:ind w:right="283"/>
              <w:rPr>
                <w:noProof/>
                <w:rtl/>
                <w:lang w:bidi="ar-MA"/>
              </w:rPr>
            </w:pPr>
            <w:r>
              <w:rPr>
                <w:rFonts w:hint="cs"/>
                <w:noProof/>
                <w:rtl/>
                <w:lang w:bidi="ar-MA"/>
              </w:rPr>
              <w:t>القطاع الثالثي</w:t>
            </w:r>
          </w:p>
        </w:tc>
        <w:tc>
          <w:tcPr>
            <w:tcW w:w="1417"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42</w:t>
            </w:r>
            <w:r w:rsidR="00BD6D24">
              <w:rPr>
                <w:rFonts w:ascii="Book Antiqua" w:hAnsi="Book Antiqua"/>
                <w:color w:val="000000"/>
              </w:rPr>
              <w:t xml:space="preserve"> </w:t>
            </w:r>
            <w:r w:rsidRPr="006D160C">
              <w:rPr>
                <w:rFonts w:ascii="Book Antiqua" w:hAnsi="Book Antiqua" w:hint="cs"/>
                <w:color w:val="000000"/>
                <w:rtl/>
              </w:rPr>
              <w:t>082</w:t>
            </w:r>
          </w:p>
        </w:tc>
        <w:tc>
          <w:tcPr>
            <w:tcW w:w="1418"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44</w:t>
            </w:r>
            <w:r w:rsidR="00BD6D24">
              <w:rPr>
                <w:rFonts w:ascii="Book Antiqua" w:hAnsi="Book Antiqua"/>
                <w:color w:val="000000"/>
              </w:rPr>
              <w:t xml:space="preserve"> </w:t>
            </w:r>
            <w:r w:rsidRPr="006D160C">
              <w:rPr>
                <w:rFonts w:ascii="Book Antiqua" w:hAnsi="Book Antiqua" w:hint="cs"/>
                <w:color w:val="000000"/>
                <w:rtl/>
              </w:rPr>
              <w:t>685</w:t>
            </w:r>
          </w:p>
        </w:tc>
        <w:tc>
          <w:tcPr>
            <w:tcW w:w="1559"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491</w:t>
            </w:r>
            <w:r w:rsidR="00BD6D24">
              <w:rPr>
                <w:rFonts w:ascii="Book Antiqua" w:hAnsi="Book Antiqua"/>
                <w:color w:val="000000"/>
              </w:rPr>
              <w:t xml:space="preserve"> </w:t>
            </w:r>
            <w:r w:rsidRPr="006D160C">
              <w:rPr>
                <w:rFonts w:ascii="Book Antiqua" w:hAnsi="Book Antiqua" w:hint="cs"/>
                <w:color w:val="000000"/>
                <w:rtl/>
              </w:rPr>
              <w:t>424</w:t>
            </w:r>
          </w:p>
        </w:tc>
        <w:tc>
          <w:tcPr>
            <w:tcW w:w="1450" w:type="dxa"/>
            <w:shd w:val="clear" w:color="auto" w:fill="F2DBDB" w:themeFill="accent2" w:themeFillTint="33"/>
          </w:tcPr>
          <w:p w:rsidR="00C4660B" w:rsidRPr="006D160C" w:rsidRDefault="007269D2" w:rsidP="006D160C">
            <w:pPr>
              <w:jc w:val="center"/>
              <w:rPr>
                <w:rFonts w:ascii="Book Antiqua" w:hAnsi="Book Antiqua"/>
                <w:color w:val="000000"/>
                <w:rtl/>
              </w:rPr>
            </w:pPr>
            <w:r w:rsidRPr="006D160C">
              <w:rPr>
                <w:rFonts w:ascii="Book Antiqua" w:hAnsi="Book Antiqua" w:hint="cs"/>
                <w:color w:val="000000"/>
                <w:rtl/>
              </w:rPr>
              <w:t>509</w:t>
            </w:r>
            <w:r w:rsidR="00BD6D24">
              <w:rPr>
                <w:rFonts w:ascii="Book Antiqua" w:hAnsi="Book Antiqua"/>
                <w:color w:val="000000"/>
              </w:rPr>
              <w:t xml:space="preserve"> </w:t>
            </w:r>
            <w:r w:rsidRPr="006D160C">
              <w:rPr>
                <w:rFonts w:ascii="Book Antiqua" w:hAnsi="Book Antiqua" w:hint="cs"/>
                <w:color w:val="000000"/>
                <w:rtl/>
              </w:rPr>
              <w:t>991</w:t>
            </w:r>
          </w:p>
        </w:tc>
      </w:tr>
      <w:tr w:rsidR="00AA0AA2" w:rsidRPr="000665F7" w:rsidTr="00E03687">
        <w:tc>
          <w:tcPr>
            <w:tcW w:w="3368" w:type="dxa"/>
            <w:shd w:val="clear" w:color="auto" w:fill="FBD4B4" w:themeFill="accent6" w:themeFillTint="66"/>
          </w:tcPr>
          <w:p w:rsidR="00AA0AA2" w:rsidRDefault="00AA0AA2" w:rsidP="0074684E">
            <w:pPr>
              <w:bidi/>
              <w:spacing w:after="120"/>
              <w:ind w:right="283"/>
              <w:rPr>
                <w:noProof/>
                <w:rtl/>
                <w:lang w:bidi="ar-MA"/>
              </w:rPr>
            </w:pPr>
            <w:r>
              <w:rPr>
                <w:rFonts w:hint="cs"/>
                <w:noProof/>
                <w:rtl/>
                <w:lang w:bidi="ar-MA"/>
              </w:rPr>
              <w:t>الضرائب الخالصة على الدعم للمنتوجات</w:t>
            </w:r>
          </w:p>
        </w:tc>
        <w:tc>
          <w:tcPr>
            <w:tcW w:w="1417" w:type="dxa"/>
            <w:shd w:val="clear" w:color="auto" w:fill="F2DBDB" w:themeFill="accent2" w:themeFillTint="33"/>
          </w:tcPr>
          <w:p w:rsidR="00AA0AA2" w:rsidRPr="006D160C" w:rsidRDefault="007269D2" w:rsidP="006D160C">
            <w:pPr>
              <w:jc w:val="center"/>
              <w:rPr>
                <w:rFonts w:ascii="Book Antiqua" w:hAnsi="Book Antiqua"/>
                <w:color w:val="000000"/>
                <w:rtl/>
              </w:rPr>
            </w:pPr>
            <w:r w:rsidRPr="006D160C">
              <w:rPr>
                <w:rFonts w:ascii="Book Antiqua" w:hAnsi="Book Antiqua" w:hint="cs"/>
                <w:color w:val="000000"/>
                <w:rtl/>
              </w:rPr>
              <w:t>11</w:t>
            </w:r>
            <w:r w:rsidR="00BD6D24">
              <w:rPr>
                <w:rFonts w:ascii="Book Antiqua" w:hAnsi="Book Antiqua"/>
                <w:color w:val="000000"/>
              </w:rPr>
              <w:t xml:space="preserve"> </w:t>
            </w:r>
            <w:r w:rsidRPr="006D160C">
              <w:rPr>
                <w:rFonts w:ascii="Book Antiqua" w:hAnsi="Book Antiqua" w:hint="cs"/>
                <w:color w:val="000000"/>
                <w:rtl/>
              </w:rPr>
              <w:t>599</w:t>
            </w:r>
          </w:p>
        </w:tc>
        <w:tc>
          <w:tcPr>
            <w:tcW w:w="1418" w:type="dxa"/>
            <w:shd w:val="clear" w:color="auto" w:fill="F2DBDB" w:themeFill="accent2" w:themeFillTint="33"/>
          </w:tcPr>
          <w:p w:rsidR="00AA0AA2" w:rsidRPr="006D160C" w:rsidRDefault="007269D2" w:rsidP="006D160C">
            <w:pPr>
              <w:jc w:val="center"/>
              <w:rPr>
                <w:rFonts w:ascii="Book Antiqua" w:hAnsi="Book Antiqua"/>
                <w:color w:val="000000"/>
                <w:rtl/>
              </w:rPr>
            </w:pPr>
            <w:r w:rsidRPr="006D160C">
              <w:rPr>
                <w:rFonts w:ascii="Book Antiqua" w:hAnsi="Book Antiqua" w:hint="cs"/>
                <w:color w:val="000000"/>
                <w:rtl/>
              </w:rPr>
              <w:t>13</w:t>
            </w:r>
            <w:r w:rsidR="00BD6D24">
              <w:rPr>
                <w:rFonts w:ascii="Book Antiqua" w:hAnsi="Book Antiqua"/>
                <w:color w:val="000000"/>
              </w:rPr>
              <w:t xml:space="preserve"> </w:t>
            </w:r>
            <w:r w:rsidRPr="006D160C">
              <w:rPr>
                <w:rFonts w:ascii="Book Antiqua" w:hAnsi="Book Antiqua" w:hint="cs"/>
                <w:color w:val="000000"/>
                <w:rtl/>
              </w:rPr>
              <w:t>083</w:t>
            </w:r>
          </w:p>
        </w:tc>
        <w:tc>
          <w:tcPr>
            <w:tcW w:w="1559" w:type="dxa"/>
            <w:shd w:val="clear" w:color="auto" w:fill="F2DBDB" w:themeFill="accent2" w:themeFillTint="33"/>
          </w:tcPr>
          <w:p w:rsidR="00AA0AA2" w:rsidRPr="006D160C" w:rsidRDefault="007269D2" w:rsidP="006D160C">
            <w:pPr>
              <w:jc w:val="center"/>
              <w:rPr>
                <w:rFonts w:ascii="Book Antiqua" w:hAnsi="Book Antiqua"/>
                <w:color w:val="000000"/>
                <w:rtl/>
              </w:rPr>
            </w:pPr>
            <w:r w:rsidRPr="006D160C">
              <w:rPr>
                <w:rFonts w:ascii="Book Antiqua" w:hAnsi="Book Antiqua" w:hint="cs"/>
                <w:color w:val="000000"/>
                <w:rtl/>
              </w:rPr>
              <w:t>113</w:t>
            </w:r>
            <w:r w:rsidR="00BD6D24">
              <w:rPr>
                <w:rFonts w:ascii="Book Antiqua" w:hAnsi="Book Antiqua"/>
                <w:color w:val="000000"/>
              </w:rPr>
              <w:t xml:space="preserve"> </w:t>
            </w:r>
            <w:r w:rsidRPr="006D160C">
              <w:rPr>
                <w:rFonts w:ascii="Book Antiqua" w:hAnsi="Book Antiqua" w:hint="cs"/>
                <w:color w:val="000000"/>
                <w:rtl/>
              </w:rPr>
              <w:t>971</w:t>
            </w:r>
          </w:p>
        </w:tc>
        <w:tc>
          <w:tcPr>
            <w:tcW w:w="1450" w:type="dxa"/>
            <w:shd w:val="clear" w:color="auto" w:fill="F2DBDB" w:themeFill="accent2" w:themeFillTint="33"/>
          </w:tcPr>
          <w:p w:rsidR="00AA0AA2" w:rsidRPr="006D160C" w:rsidRDefault="007269D2" w:rsidP="006D160C">
            <w:pPr>
              <w:jc w:val="center"/>
              <w:rPr>
                <w:rFonts w:ascii="Book Antiqua" w:hAnsi="Book Antiqua"/>
                <w:color w:val="000000"/>
                <w:rtl/>
              </w:rPr>
            </w:pPr>
            <w:r w:rsidRPr="006D160C">
              <w:rPr>
                <w:rFonts w:ascii="Book Antiqua" w:hAnsi="Book Antiqua" w:hint="cs"/>
                <w:color w:val="000000"/>
                <w:rtl/>
              </w:rPr>
              <w:t>118</w:t>
            </w:r>
            <w:r w:rsidR="00BD6D24">
              <w:rPr>
                <w:rFonts w:ascii="Book Antiqua" w:hAnsi="Book Antiqua"/>
                <w:color w:val="000000"/>
              </w:rPr>
              <w:t xml:space="preserve"> </w:t>
            </w:r>
            <w:r w:rsidRPr="006D160C">
              <w:rPr>
                <w:rFonts w:ascii="Book Antiqua" w:hAnsi="Book Antiqua" w:hint="cs"/>
                <w:color w:val="000000"/>
                <w:rtl/>
              </w:rPr>
              <w:t>628</w:t>
            </w:r>
          </w:p>
        </w:tc>
      </w:tr>
    </w:tbl>
    <w:p w:rsidR="00E779F7" w:rsidRPr="00051ED3" w:rsidRDefault="00101E96" w:rsidP="00E779F7">
      <w:pPr>
        <w:bidi/>
        <w:spacing w:after="120"/>
        <w:ind w:right="283"/>
        <w:rPr>
          <w:b/>
          <w:bCs/>
          <w:rtl/>
          <w:lang w:bidi="ar-MA"/>
        </w:rPr>
      </w:pPr>
      <w:r>
        <w:rPr>
          <w:rFonts w:ascii="Book Antiqua" w:hAnsi="Book Antiqua" w:cs="Simplified Arabic" w:hint="cs"/>
          <w:sz w:val="16"/>
          <w:szCs w:val="16"/>
          <w:rtl/>
          <w:lang w:bidi="ar-MA"/>
        </w:rPr>
        <w:t>*</w:t>
      </w:r>
      <w:r w:rsidRPr="00D909F3">
        <w:rPr>
          <w:rFonts w:ascii="Book Antiqua" w:hAnsi="Book Antiqua" w:cs="Simplified Arabic"/>
          <w:sz w:val="16"/>
          <w:szCs w:val="16"/>
          <w:rtl/>
          <w:lang w:bidi="ar-MA"/>
        </w:rPr>
        <w:t xml:space="preserve"> معطيات شبه-نهائية</w:t>
      </w:r>
    </w:p>
    <w:p w:rsidR="00E745E4" w:rsidRDefault="00E745E4" w:rsidP="003E1F3A">
      <w:pPr>
        <w:bidi/>
        <w:spacing w:after="0" w:line="240" w:lineRule="auto"/>
        <w:ind w:right="283"/>
        <w:rPr>
          <w:rFonts w:hint="cs"/>
          <w:b/>
          <w:bCs/>
          <w:rtl/>
          <w:lang w:bidi="ar-MA"/>
        </w:rPr>
      </w:pPr>
    </w:p>
    <w:p w:rsidR="00E745E4" w:rsidRDefault="00E745E4" w:rsidP="00E745E4">
      <w:pPr>
        <w:bidi/>
        <w:spacing w:after="0" w:line="240" w:lineRule="auto"/>
        <w:ind w:right="283"/>
        <w:rPr>
          <w:rFonts w:hint="cs"/>
          <w:b/>
          <w:bCs/>
          <w:rtl/>
          <w:lang w:bidi="ar-MA"/>
        </w:rPr>
      </w:pPr>
    </w:p>
    <w:p w:rsidR="00E745E4" w:rsidRDefault="00E745E4" w:rsidP="00E745E4">
      <w:pPr>
        <w:bidi/>
        <w:spacing w:after="0" w:line="240" w:lineRule="auto"/>
        <w:ind w:right="283"/>
        <w:rPr>
          <w:rFonts w:hint="cs"/>
          <w:b/>
          <w:bCs/>
          <w:rtl/>
          <w:lang w:bidi="ar-MA"/>
        </w:rPr>
      </w:pPr>
    </w:p>
    <w:p w:rsidR="00E779F7" w:rsidRDefault="00E779F7" w:rsidP="00E745E4">
      <w:pPr>
        <w:bidi/>
        <w:spacing w:after="0" w:line="240" w:lineRule="auto"/>
        <w:ind w:right="283"/>
        <w:rPr>
          <w:b/>
          <w:bCs/>
          <w:rtl/>
          <w:lang w:bidi="ar-MA"/>
        </w:rPr>
      </w:pPr>
      <w:r w:rsidRPr="00051ED3">
        <w:rPr>
          <w:b/>
          <w:bCs/>
          <w:rtl/>
          <w:lang w:bidi="ar-MA"/>
        </w:rPr>
        <w:lastRenderedPageBreak/>
        <w:t>توزيع الناتج الداخلي الإجمالي حسب النشـــــاط الاقتـصـــادي</w:t>
      </w:r>
      <w:r w:rsidR="003E1F3A">
        <w:rPr>
          <w:rFonts w:hint="cs"/>
          <w:b/>
          <w:bCs/>
          <w:rtl/>
          <w:lang w:bidi="ar-MA"/>
        </w:rPr>
        <w:t xml:space="preserve"> بجهة مراكش-أسفي</w:t>
      </w:r>
      <w:r w:rsidR="003E1F3A" w:rsidRPr="00051ED3">
        <w:rPr>
          <w:b/>
          <w:bCs/>
          <w:rtl/>
          <w:lang w:bidi="ar-MA"/>
        </w:rPr>
        <w:t xml:space="preserve"> </w:t>
      </w:r>
      <w:r w:rsidRPr="00051ED3">
        <w:rPr>
          <w:b/>
          <w:bCs/>
          <w:rtl/>
          <w:lang w:bidi="ar-MA"/>
        </w:rPr>
        <w:t>لسنـــــــتي 2015 و  2016</w:t>
      </w:r>
      <w:r w:rsidR="003E1F3A">
        <w:rPr>
          <w:rFonts w:hint="cs"/>
          <w:b/>
          <w:bCs/>
          <w:rtl/>
          <w:lang w:bidi="ar-MA"/>
        </w:rPr>
        <w:t>،</w:t>
      </w:r>
      <w:r w:rsidRPr="00051ED3">
        <w:rPr>
          <w:b/>
          <w:bCs/>
          <w:rtl/>
          <w:lang w:bidi="ar-MA"/>
        </w:rPr>
        <w:t xml:space="preserve"> بالنسبة المئوية</w:t>
      </w:r>
      <w:r w:rsidR="00890B77">
        <w:rPr>
          <w:rFonts w:hint="cs"/>
          <w:b/>
          <w:bCs/>
          <w:rtl/>
          <w:lang w:bidi="ar-MA"/>
        </w:rPr>
        <w:t>:</w:t>
      </w:r>
      <w:r w:rsidRPr="00051ED3">
        <w:rPr>
          <w:rFonts w:hint="cs"/>
          <w:b/>
          <w:bCs/>
          <w:rtl/>
          <w:lang w:bidi="ar-MA"/>
        </w:rPr>
        <w:t xml:space="preserve"> </w:t>
      </w:r>
    </w:p>
    <w:tbl>
      <w:tblPr>
        <w:tblStyle w:val="Grilledutableau"/>
        <w:bidiVisual/>
        <w:tblW w:w="0" w:type="auto"/>
        <w:tblLook w:val="04A0"/>
      </w:tblPr>
      <w:tblGrid>
        <w:gridCol w:w="3368"/>
        <w:gridCol w:w="1417"/>
        <w:gridCol w:w="1418"/>
        <w:gridCol w:w="1559"/>
        <w:gridCol w:w="1450"/>
      </w:tblGrid>
      <w:tr w:rsidR="00C4660B" w:rsidTr="00E03687">
        <w:tc>
          <w:tcPr>
            <w:tcW w:w="3368" w:type="dxa"/>
            <w:vMerge w:val="restart"/>
            <w:shd w:val="clear" w:color="auto" w:fill="FBD4B4" w:themeFill="accent6" w:themeFillTint="66"/>
          </w:tcPr>
          <w:p w:rsidR="00C4660B" w:rsidRDefault="00C4660B" w:rsidP="00AA0AA2">
            <w:pPr>
              <w:bidi/>
              <w:ind w:right="283"/>
              <w:rPr>
                <w:b/>
                <w:bCs/>
                <w:rtl/>
                <w:lang w:bidi="ar-MA"/>
              </w:rPr>
            </w:pPr>
          </w:p>
        </w:tc>
        <w:tc>
          <w:tcPr>
            <w:tcW w:w="2835"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جهة مراكش أسفي</w:t>
            </w:r>
          </w:p>
        </w:tc>
        <w:tc>
          <w:tcPr>
            <w:tcW w:w="3009"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على الصعيد الوطني</w:t>
            </w:r>
          </w:p>
        </w:tc>
      </w:tr>
      <w:tr w:rsidR="00FD2A5E" w:rsidTr="00E03687">
        <w:tc>
          <w:tcPr>
            <w:tcW w:w="3368" w:type="dxa"/>
            <w:vMerge/>
          </w:tcPr>
          <w:p w:rsidR="00FD2A5E" w:rsidRDefault="00FD2A5E" w:rsidP="0074684E">
            <w:pPr>
              <w:bidi/>
              <w:spacing w:after="120"/>
              <w:ind w:right="283"/>
              <w:rPr>
                <w:b/>
                <w:bCs/>
                <w:rtl/>
                <w:lang w:bidi="ar-MA"/>
              </w:rPr>
            </w:pPr>
          </w:p>
        </w:tc>
        <w:tc>
          <w:tcPr>
            <w:tcW w:w="1417" w:type="dxa"/>
            <w:shd w:val="clear" w:color="auto" w:fill="FABF8F" w:themeFill="accent6" w:themeFillTint="99"/>
          </w:tcPr>
          <w:p w:rsidR="00FD2A5E" w:rsidRDefault="00FD2A5E" w:rsidP="0074684E">
            <w:pPr>
              <w:jc w:val="center"/>
              <w:rPr>
                <w:noProof/>
                <w:lang w:bidi="ar-MA"/>
              </w:rPr>
            </w:pPr>
            <w:r>
              <w:rPr>
                <w:rFonts w:hint="cs"/>
                <w:noProof/>
                <w:rtl/>
                <w:lang w:bidi="ar-MA"/>
              </w:rPr>
              <w:t>2015</w:t>
            </w:r>
          </w:p>
        </w:tc>
        <w:tc>
          <w:tcPr>
            <w:tcW w:w="1418" w:type="dxa"/>
            <w:shd w:val="clear" w:color="auto" w:fill="FABF8F" w:themeFill="accent6" w:themeFillTint="99"/>
          </w:tcPr>
          <w:p w:rsidR="00FD2A5E" w:rsidRDefault="00FD2A5E" w:rsidP="0074684E">
            <w:pPr>
              <w:jc w:val="center"/>
              <w:rPr>
                <w:noProof/>
                <w:lang w:bidi="ar-MA"/>
              </w:rPr>
            </w:pPr>
            <w:r>
              <w:rPr>
                <w:rFonts w:hint="cs"/>
                <w:noProof/>
                <w:rtl/>
                <w:lang w:bidi="ar-MA"/>
              </w:rPr>
              <w:t>2016</w:t>
            </w:r>
            <w:r w:rsidR="00101E96">
              <w:rPr>
                <w:rFonts w:hint="cs"/>
                <w:noProof/>
                <w:rtl/>
                <w:lang w:bidi="ar-MA"/>
              </w:rPr>
              <w:t>*</w:t>
            </w:r>
          </w:p>
        </w:tc>
        <w:tc>
          <w:tcPr>
            <w:tcW w:w="1559" w:type="dxa"/>
            <w:shd w:val="clear" w:color="auto" w:fill="FABF8F" w:themeFill="accent6" w:themeFillTint="99"/>
          </w:tcPr>
          <w:p w:rsidR="00FD2A5E" w:rsidRDefault="00FD2A5E" w:rsidP="0074684E">
            <w:pPr>
              <w:jc w:val="center"/>
              <w:rPr>
                <w:noProof/>
                <w:lang w:bidi="ar-MA"/>
              </w:rPr>
            </w:pPr>
            <w:r>
              <w:rPr>
                <w:rFonts w:hint="cs"/>
                <w:noProof/>
                <w:rtl/>
                <w:lang w:bidi="ar-MA"/>
              </w:rPr>
              <w:t>2015</w:t>
            </w:r>
          </w:p>
        </w:tc>
        <w:tc>
          <w:tcPr>
            <w:tcW w:w="1450" w:type="dxa"/>
            <w:shd w:val="clear" w:color="auto" w:fill="FABF8F" w:themeFill="accent6" w:themeFillTint="99"/>
          </w:tcPr>
          <w:p w:rsidR="00FD2A5E" w:rsidRDefault="00FD2A5E" w:rsidP="00FD2A5E">
            <w:pPr>
              <w:jc w:val="center"/>
              <w:rPr>
                <w:noProof/>
                <w:lang w:bidi="ar-MA"/>
              </w:rPr>
            </w:pPr>
            <w:r>
              <w:rPr>
                <w:rFonts w:hint="cs"/>
                <w:noProof/>
                <w:rtl/>
                <w:lang w:bidi="ar-MA"/>
              </w:rPr>
              <w:t>2016</w:t>
            </w:r>
            <w:r w:rsidR="00101E96">
              <w:rPr>
                <w:rFonts w:hint="cs"/>
                <w:noProof/>
                <w:rtl/>
                <w:lang w:bidi="ar-MA"/>
              </w:rPr>
              <w:t>*</w:t>
            </w:r>
          </w:p>
        </w:tc>
      </w:tr>
      <w:tr w:rsidR="00D20A56" w:rsidRPr="000665F7" w:rsidTr="00E03687">
        <w:tc>
          <w:tcPr>
            <w:tcW w:w="3368" w:type="dxa"/>
            <w:shd w:val="clear" w:color="auto" w:fill="FBD4B4" w:themeFill="accent6" w:themeFillTint="66"/>
          </w:tcPr>
          <w:p w:rsidR="00D20A56" w:rsidRPr="007D7E78" w:rsidRDefault="00D20A56" w:rsidP="0074684E">
            <w:pPr>
              <w:bidi/>
              <w:spacing w:after="120"/>
              <w:ind w:right="283"/>
              <w:rPr>
                <w:noProof/>
                <w:rtl/>
                <w:lang w:bidi="ar-MA"/>
              </w:rPr>
            </w:pPr>
            <w:r>
              <w:rPr>
                <w:rFonts w:hint="cs"/>
                <w:noProof/>
                <w:rtl/>
                <w:lang w:bidi="ar-MA"/>
              </w:rPr>
              <w:t>القطاع الأولي</w:t>
            </w:r>
          </w:p>
        </w:tc>
        <w:tc>
          <w:tcPr>
            <w:tcW w:w="1417" w:type="dxa"/>
            <w:shd w:val="clear" w:color="auto" w:fill="F2DBDB" w:themeFill="accent2" w:themeFillTint="33"/>
          </w:tcPr>
          <w:p w:rsidR="00D20A56" w:rsidRPr="006D160C" w:rsidRDefault="00D20A56" w:rsidP="006D160C">
            <w:pPr>
              <w:jc w:val="center"/>
              <w:rPr>
                <w:rFonts w:ascii="Book Antiqua" w:hAnsi="Book Antiqua"/>
                <w:color w:val="000000"/>
              </w:rPr>
            </w:pPr>
            <w:r w:rsidRPr="006D160C">
              <w:rPr>
                <w:rFonts w:ascii="Book Antiqua" w:hAnsi="Book Antiqua" w:hint="cs"/>
                <w:color w:val="000000"/>
                <w:rtl/>
              </w:rPr>
              <w:t>13.1</w:t>
            </w:r>
          </w:p>
        </w:tc>
        <w:tc>
          <w:tcPr>
            <w:tcW w:w="1418"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11.3</w:t>
            </w:r>
          </w:p>
        </w:tc>
        <w:tc>
          <w:tcPr>
            <w:tcW w:w="1559"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100</w:t>
            </w:r>
          </w:p>
        </w:tc>
        <w:tc>
          <w:tcPr>
            <w:tcW w:w="1450"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100</w:t>
            </w:r>
          </w:p>
        </w:tc>
      </w:tr>
      <w:tr w:rsidR="00D20A56" w:rsidRPr="000665F7" w:rsidTr="00E03687">
        <w:tc>
          <w:tcPr>
            <w:tcW w:w="3368" w:type="dxa"/>
            <w:shd w:val="clear" w:color="auto" w:fill="FBD4B4" w:themeFill="accent6" w:themeFillTint="66"/>
          </w:tcPr>
          <w:p w:rsidR="00D20A56" w:rsidRPr="007D7E78" w:rsidRDefault="00D20A56" w:rsidP="0074684E">
            <w:pPr>
              <w:bidi/>
              <w:spacing w:after="120"/>
              <w:ind w:right="283"/>
              <w:rPr>
                <w:noProof/>
                <w:rtl/>
                <w:lang w:bidi="ar-MA"/>
              </w:rPr>
            </w:pPr>
            <w:r>
              <w:rPr>
                <w:rFonts w:hint="cs"/>
                <w:noProof/>
                <w:rtl/>
                <w:lang w:bidi="ar-MA"/>
              </w:rPr>
              <w:t>القطاع الثانوي</w:t>
            </w:r>
          </w:p>
        </w:tc>
        <w:tc>
          <w:tcPr>
            <w:tcW w:w="1417"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6.9</w:t>
            </w:r>
          </w:p>
        </w:tc>
        <w:tc>
          <w:tcPr>
            <w:tcW w:w="1418"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6.6</w:t>
            </w:r>
          </w:p>
        </w:tc>
        <w:tc>
          <w:tcPr>
            <w:tcW w:w="1559"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100</w:t>
            </w:r>
          </w:p>
        </w:tc>
        <w:tc>
          <w:tcPr>
            <w:tcW w:w="1450"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100</w:t>
            </w:r>
          </w:p>
        </w:tc>
      </w:tr>
      <w:tr w:rsidR="00D20A56" w:rsidRPr="000665F7" w:rsidTr="00E03687">
        <w:tc>
          <w:tcPr>
            <w:tcW w:w="3368" w:type="dxa"/>
            <w:shd w:val="clear" w:color="auto" w:fill="FBD4B4" w:themeFill="accent6" w:themeFillTint="66"/>
          </w:tcPr>
          <w:p w:rsidR="00D20A56" w:rsidRPr="007D7E78" w:rsidRDefault="00D20A56" w:rsidP="0074684E">
            <w:pPr>
              <w:bidi/>
              <w:spacing w:after="120"/>
              <w:ind w:right="283"/>
              <w:rPr>
                <w:noProof/>
                <w:rtl/>
                <w:lang w:bidi="ar-MA"/>
              </w:rPr>
            </w:pPr>
            <w:r>
              <w:rPr>
                <w:rFonts w:hint="cs"/>
                <w:noProof/>
                <w:rtl/>
                <w:lang w:bidi="ar-MA"/>
              </w:rPr>
              <w:t>القطاع الثالثي</w:t>
            </w:r>
          </w:p>
        </w:tc>
        <w:tc>
          <w:tcPr>
            <w:tcW w:w="1417"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8.6</w:t>
            </w:r>
          </w:p>
        </w:tc>
        <w:tc>
          <w:tcPr>
            <w:tcW w:w="1418"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8.8</w:t>
            </w:r>
          </w:p>
        </w:tc>
        <w:tc>
          <w:tcPr>
            <w:tcW w:w="1559"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100</w:t>
            </w:r>
          </w:p>
        </w:tc>
        <w:tc>
          <w:tcPr>
            <w:tcW w:w="1450"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100</w:t>
            </w:r>
          </w:p>
        </w:tc>
      </w:tr>
      <w:tr w:rsidR="00D20A56" w:rsidRPr="000665F7" w:rsidTr="00E03687">
        <w:tc>
          <w:tcPr>
            <w:tcW w:w="3368" w:type="dxa"/>
            <w:shd w:val="clear" w:color="auto" w:fill="FBD4B4" w:themeFill="accent6" w:themeFillTint="66"/>
          </w:tcPr>
          <w:p w:rsidR="00D20A56" w:rsidRDefault="00D20A56" w:rsidP="0074684E">
            <w:pPr>
              <w:bidi/>
              <w:spacing w:after="120"/>
              <w:ind w:right="283"/>
              <w:rPr>
                <w:noProof/>
                <w:rtl/>
                <w:lang w:bidi="ar-MA"/>
              </w:rPr>
            </w:pPr>
            <w:r>
              <w:rPr>
                <w:rFonts w:hint="cs"/>
                <w:noProof/>
                <w:rtl/>
                <w:lang w:bidi="ar-MA"/>
              </w:rPr>
              <w:t>الضرائب الخالصة على الدعم للمنتوجات</w:t>
            </w:r>
          </w:p>
        </w:tc>
        <w:tc>
          <w:tcPr>
            <w:tcW w:w="1417"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10.2</w:t>
            </w:r>
          </w:p>
        </w:tc>
        <w:tc>
          <w:tcPr>
            <w:tcW w:w="1418"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11.0</w:t>
            </w:r>
          </w:p>
        </w:tc>
        <w:tc>
          <w:tcPr>
            <w:tcW w:w="1559"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100</w:t>
            </w:r>
          </w:p>
        </w:tc>
        <w:tc>
          <w:tcPr>
            <w:tcW w:w="1450" w:type="dxa"/>
            <w:shd w:val="clear" w:color="auto" w:fill="F2DBDB" w:themeFill="accent2" w:themeFillTint="33"/>
          </w:tcPr>
          <w:p w:rsidR="00D20A56" w:rsidRPr="006D160C" w:rsidRDefault="00D20A56" w:rsidP="006D160C">
            <w:pPr>
              <w:jc w:val="center"/>
              <w:rPr>
                <w:rFonts w:ascii="Book Antiqua" w:hAnsi="Book Antiqua"/>
                <w:color w:val="000000"/>
                <w:rtl/>
              </w:rPr>
            </w:pPr>
            <w:r w:rsidRPr="006D160C">
              <w:rPr>
                <w:rFonts w:ascii="Book Antiqua" w:hAnsi="Book Antiqua" w:hint="cs"/>
                <w:color w:val="000000"/>
                <w:rtl/>
              </w:rPr>
              <w:t>100</w:t>
            </w:r>
          </w:p>
        </w:tc>
      </w:tr>
    </w:tbl>
    <w:p w:rsidR="00E779F7" w:rsidRDefault="00101E96" w:rsidP="00AA0AA2">
      <w:pPr>
        <w:bidi/>
        <w:spacing w:after="0" w:line="240" w:lineRule="auto"/>
        <w:ind w:right="283"/>
        <w:rPr>
          <w:rFonts w:ascii="Book Antiqua" w:hAnsi="Book Antiqua" w:cs="Simplified Arabic"/>
          <w:sz w:val="16"/>
          <w:szCs w:val="16"/>
          <w:lang w:bidi="ar-MA"/>
        </w:rPr>
      </w:pPr>
      <w:r>
        <w:rPr>
          <w:rFonts w:ascii="Book Antiqua" w:hAnsi="Book Antiqua" w:cs="Simplified Arabic" w:hint="cs"/>
          <w:sz w:val="16"/>
          <w:szCs w:val="16"/>
          <w:rtl/>
          <w:lang w:bidi="ar-MA"/>
        </w:rPr>
        <w:t>*</w:t>
      </w:r>
      <w:r w:rsidRPr="00D909F3">
        <w:rPr>
          <w:rFonts w:ascii="Book Antiqua" w:hAnsi="Book Antiqua" w:cs="Simplified Arabic"/>
          <w:sz w:val="16"/>
          <w:szCs w:val="16"/>
          <w:rtl/>
          <w:lang w:bidi="ar-MA"/>
        </w:rPr>
        <w:t xml:space="preserve"> معطيات شبه-نهائية</w:t>
      </w:r>
    </w:p>
    <w:p w:rsidR="00552317" w:rsidRDefault="00552317" w:rsidP="00552317">
      <w:pPr>
        <w:bidi/>
        <w:spacing w:after="0" w:line="240" w:lineRule="auto"/>
        <w:ind w:right="283"/>
        <w:rPr>
          <w:b/>
          <w:bCs/>
          <w:rtl/>
          <w:lang w:bidi="ar-MA"/>
        </w:rPr>
      </w:pPr>
    </w:p>
    <w:p w:rsidR="00E779F7" w:rsidRDefault="00E779F7" w:rsidP="003E1F3A">
      <w:pPr>
        <w:bidi/>
        <w:spacing w:after="0" w:line="240" w:lineRule="auto"/>
        <w:ind w:right="283"/>
        <w:rPr>
          <w:b/>
          <w:bCs/>
          <w:rtl/>
          <w:lang w:bidi="ar-MA"/>
        </w:rPr>
      </w:pPr>
      <w:r w:rsidRPr="00051ED3">
        <w:rPr>
          <w:b/>
          <w:bCs/>
          <w:rtl/>
          <w:lang w:bidi="ar-MA"/>
        </w:rPr>
        <w:t xml:space="preserve">توزيع الناتج الداخلي الإجمالي حسب النشـــــاط الاقتـصـــادي </w:t>
      </w:r>
      <w:r w:rsidR="003E1F3A">
        <w:rPr>
          <w:rFonts w:hint="cs"/>
          <w:b/>
          <w:bCs/>
          <w:rtl/>
          <w:lang w:bidi="ar-MA"/>
        </w:rPr>
        <w:t>بجهة مراكش-أسفي</w:t>
      </w:r>
      <w:r w:rsidR="003E1F3A" w:rsidRPr="00051ED3">
        <w:rPr>
          <w:b/>
          <w:bCs/>
          <w:rtl/>
          <w:lang w:bidi="ar-MA"/>
        </w:rPr>
        <w:t xml:space="preserve"> </w:t>
      </w:r>
      <w:r w:rsidRPr="00051ED3">
        <w:rPr>
          <w:b/>
          <w:bCs/>
          <w:rtl/>
          <w:lang w:bidi="ar-MA"/>
        </w:rPr>
        <w:t>لسنـــــــتي 2014 و2015 بالنسبة المئوية</w:t>
      </w:r>
      <w:r w:rsidR="00890B77">
        <w:rPr>
          <w:rFonts w:hint="cs"/>
          <w:b/>
          <w:bCs/>
          <w:rtl/>
          <w:lang w:bidi="ar-MA"/>
        </w:rPr>
        <w:t>:</w:t>
      </w:r>
      <w:r w:rsidRPr="00051ED3">
        <w:rPr>
          <w:rFonts w:hint="cs"/>
          <w:b/>
          <w:bCs/>
          <w:rtl/>
          <w:lang w:bidi="ar-MA"/>
        </w:rPr>
        <w:t xml:space="preserve"> </w:t>
      </w:r>
    </w:p>
    <w:tbl>
      <w:tblPr>
        <w:tblStyle w:val="Grilledutableau"/>
        <w:bidiVisual/>
        <w:tblW w:w="0" w:type="auto"/>
        <w:tblLook w:val="04A0"/>
      </w:tblPr>
      <w:tblGrid>
        <w:gridCol w:w="3368"/>
        <w:gridCol w:w="1417"/>
        <w:gridCol w:w="1418"/>
        <w:gridCol w:w="1559"/>
        <w:gridCol w:w="1450"/>
      </w:tblGrid>
      <w:tr w:rsidR="00C4660B" w:rsidTr="00E03687">
        <w:tc>
          <w:tcPr>
            <w:tcW w:w="3368" w:type="dxa"/>
            <w:vMerge w:val="restart"/>
            <w:shd w:val="clear" w:color="auto" w:fill="FBD4B4" w:themeFill="accent6" w:themeFillTint="66"/>
          </w:tcPr>
          <w:p w:rsidR="00C4660B" w:rsidRDefault="00C4660B" w:rsidP="0074684E">
            <w:pPr>
              <w:bidi/>
              <w:spacing w:after="120"/>
              <w:ind w:right="283"/>
              <w:rPr>
                <w:b/>
                <w:bCs/>
                <w:rtl/>
                <w:lang w:bidi="ar-MA"/>
              </w:rPr>
            </w:pPr>
          </w:p>
        </w:tc>
        <w:tc>
          <w:tcPr>
            <w:tcW w:w="2835"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جهة مراكش أسفي</w:t>
            </w:r>
          </w:p>
        </w:tc>
        <w:tc>
          <w:tcPr>
            <w:tcW w:w="3009" w:type="dxa"/>
            <w:gridSpan w:val="2"/>
            <w:shd w:val="clear" w:color="auto" w:fill="FBD4B4" w:themeFill="accent6" w:themeFillTint="66"/>
          </w:tcPr>
          <w:p w:rsidR="00C4660B" w:rsidRDefault="00C4660B" w:rsidP="0074684E">
            <w:pPr>
              <w:jc w:val="center"/>
              <w:rPr>
                <w:noProof/>
                <w:lang w:bidi="ar-MA"/>
              </w:rPr>
            </w:pPr>
            <w:r>
              <w:rPr>
                <w:rFonts w:hint="cs"/>
                <w:noProof/>
                <w:rtl/>
                <w:lang w:bidi="ar-MA"/>
              </w:rPr>
              <w:t>على الصعيد الوطني</w:t>
            </w:r>
          </w:p>
        </w:tc>
      </w:tr>
      <w:tr w:rsidR="00FD2A5E" w:rsidTr="00E03687">
        <w:tc>
          <w:tcPr>
            <w:tcW w:w="3368" w:type="dxa"/>
            <w:vMerge/>
          </w:tcPr>
          <w:p w:rsidR="00FD2A5E" w:rsidRDefault="00FD2A5E" w:rsidP="0074684E">
            <w:pPr>
              <w:bidi/>
              <w:spacing w:after="120"/>
              <w:ind w:right="283"/>
              <w:rPr>
                <w:b/>
                <w:bCs/>
                <w:rtl/>
                <w:lang w:bidi="ar-MA"/>
              </w:rPr>
            </w:pPr>
          </w:p>
        </w:tc>
        <w:tc>
          <w:tcPr>
            <w:tcW w:w="1417" w:type="dxa"/>
            <w:shd w:val="clear" w:color="auto" w:fill="FABF8F" w:themeFill="accent6" w:themeFillTint="99"/>
          </w:tcPr>
          <w:p w:rsidR="00FD2A5E" w:rsidRDefault="00FD2A5E" w:rsidP="0074684E">
            <w:pPr>
              <w:jc w:val="center"/>
              <w:rPr>
                <w:noProof/>
                <w:lang w:bidi="ar-MA"/>
              </w:rPr>
            </w:pPr>
            <w:r>
              <w:rPr>
                <w:rFonts w:hint="cs"/>
                <w:noProof/>
                <w:rtl/>
                <w:lang w:bidi="ar-MA"/>
              </w:rPr>
              <w:t>2015</w:t>
            </w:r>
          </w:p>
        </w:tc>
        <w:tc>
          <w:tcPr>
            <w:tcW w:w="1418" w:type="dxa"/>
            <w:shd w:val="clear" w:color="auto" w:fill="FABF8F" w:themeFill="accent6" w:themeFillTint="99"/>
          </w:tcPr>
          <w:p w:rsidR="00FD2A5E" w:rsidRDefault="00101E96" w:rsidP="0074684E">
            <w:pPr>
              <w:jc w:val="center"/>
              <w:rPr>
                <w:noProof/>
                <w:lang w:bidi="ar-MA"/>
              </w:rPr>
            </w:pPr>
            <w:r>
              <w:rPr>
                <w:rFonts w:hint="cs"/>
                <w:noProof/>
                <w:rtl/>
                <w:lang w:bidi="ar-MA"/>
              </w:rPr>
              <w:t>*</w:t>
            </w:r>
            <w:r w:rsidR="00FD2A5E">
              <w:rPr>
                <w:rFonts w:hint="cs"/>
                <w:noProof/>
                <w:rtl/>
                <w:lang w:bidi="ar-MA"/>
              </w:rPr>
              <w:t>2016</w:t>
            </w:r>
          </w:p>
        </w:tc>
        <w:tc>
          <w:tcPr>
            <w:tcW w:w="1559" w:type="dxa"/>
            <w:shd w:val="clear" w:color="auto" w:fill="FABF8F" w:themeFill="accent6" w:themeFillTint="99"/>
          </w:tcPr>
          <w:p w:rsidR="00FD2A5E" w:rsidRDefault="00FD2A5E" w:rsidP="0074684E">
            <w:pPr>
              <w:jc w:val="center"/>
              <w:rPr>
                <w:noProof/>
                <w:lang w:bidi="ar-MA"/>
              </w:rPr>
            </w:pPr>
            <w:r>
              <w:rPr>
                <w:rFonts w:hint="cs"/>
                <w:noProof/>
                <w:rtl/>
                <w:lang w:bidi="ar-MA"/>
              </w:rPr>
              <w:t>2015</w:t>
            </w:r>
          </w:p>
        </w:tc>
        <w:tc>
          <w:tcPr>
            <w:tcW w:w="1450" w:type="dxa"/>
            <w:shd w:val="clear" w:color="auto" w:fill="FABF8F" w:themeFill="accent6" w:themeFillTint="99"/>
          </w:tcPr>
          <w:p w:rsidR="00FD2A5E" w:rsidRDefault="00101E96" w:rsidP="0074684E">
            <w:pPr>
              <w:jc w:val="center"/>
              <w:rPr>
                <w:noProof/>
                <w:lang w:bidi="ar-MA"/>
              </w:rPr>
            </w:pPr>
            <w:r>
              <w:rPr>
                <w:rFonts w:hint="cs"/>
                <w:noProof/>
                <w:rtl/>
                <w:lang w:bidi="ar-MA"/>
              </w:rPr>
              <w:t>*</w:t>
            </w:r>
            <w:r w:rsidR="00FD2A5E">
              <w:rPr>
                <w:rFonts w:hint="cs"/>
                <w:noProof/>
                <w:rtl/>
                <w:lang w:bidi="ar-MA"/>
              </w:rPr>
              <w:t>2016</w:t>
            </w:r>
          </w:p>
        </w:tc>
      </w:tr>
      <w:tr w:rsidR="003E1F3A" w:rsidRPr="000665F7" w:rsidTr="00E03687">
        <w:trPr>
          <w:trHeight w:val="283"/>
        </w:trPr>
        <w:tc>
          <w:tcPr>
            <w:tcW w:w="3368" w:type="dxa"/>
            <w:shd w:val="clear" w:color="auto" w:fill="FBD4B4" w:themeFill="accent6" w:themeFillTint="66"/>
          </w:tcPr>
          <w:p w:rsidR="003E1F3A" w:rsidRPr="007D7E78" w:rsidRDefault="003E1F3A" w:rsidP="0074684E">
            <w:pPr>
              <w:bidi/>
              <w:spacing w:after="120"/>
              <w:ind w:right="283"/>
              <w:rPr>
                <w:noProof/>
                <w:rtl/>
                <w:lang w:bidi="ar-MA"/>
              </w:rPr>
            </w:pPr>
            <w:r>
              <w:rPr>
                <w:rFonts w:hint="cs"/>
                <w:noProof/>
                <w:rtl/>
                <w:lang w:bidi="ar-MA"/>
              </w:rPr>
              <w:t>القطاع الأولي</w:t>
            </w:r>
          </w:p>
        </w:tc>
        <w:tc>
          <w:tcPr>
            <w:tcW w:w="1417" w:type="dxa"/>
            <w:shd w:val="clear" w:color="auto" w:fill="F2DBDB" w:themeFill="accent2" w:themeFillTint="33"/>
          </w:tcPr>
          <w:p w:rsidR="003E1F3A" w:rsidRPr="006D160C" w:rsidRDefault="003E1F3A" w:rsidP="006D160C">
            <w:pPr>
              <w:jc w:val="center"/>
              <w:rPr>
                <w:rFonts w:ascii="Book Antiqua" w:hAnsi="Book Antiqua"/>
                <w:color w:val="000000"/>
              </w:rPr>
            </w:pPr>
            <w:r w:rsidRPr="006D160C">
              <w:rPr>
                <w:rFonts w:ascii="Book Antiqua" w:hAnsi="Book Antiqua" w:hint="cs"/>
                <w:color w:val="000000"/>
                <w:rtl/>
              </w:rPr>
              <w:t>18.6</w:t>
            </w:r>
          </w:p>
        </w:tc>
        <w:tc>
          <w:tcPr>
            <w:tcW w:w="1418"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15.4</w:t>
            </w:r>
          </w:p>
        </w:tc>
        <w:tc>
          <w:tcPr>
            <w:tcW w:w="1559"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12.6</w:t>
            </w:r>
          </w:p>
        </w:tc>
        <w:tc>
          <w:tcPr>
            <w:tcW w:w="1450"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12.0</w:t>
            </w:r>
          </w:p>
        </w:tc>
      </w:tr>
      <w:tr w:rsidR="003E1F3A" w:rsidRPr="000665F7" w:rsidTr="00E03687">
        <w:trPr>
          <w:trHeight w:val="283"/>
        </w:trPr>
        <w:tc>
          <w:tcPr>
            <w:tcW w:w="3368" w:type="dxa"/>
            <w:shd w:val="clear" w:color="auto" w:fill="FBD4B4" w:themeFill="accent6" w:themeFillTint="66"/>
          </w:tcPr>
          <w:p w:rsidR="003E1F3A" w:rsidRPr="007D7E78" w:rsidRDefault="003E1F3A" w:rsidP="0074684E">
            <w:pPr>
              <w:bidi/>
              <w:spacing w:after="120"/>
              <w:ind w:right="283"/>
              <w:rPr>
                <w:noProof/>
                <w:rtl/>
                <w:lang w:bidi="ar-MA"/>
              </w:rPr>
            </w:pPr>
            <w:r>
              <w:rPr>
                <w:rFonts w:hint="cs"/>
                <w:noProof/>
                <w:rtl/>
                <w:lang w:bidi="ar-MA"/>
              </w:rPr>
              <w:t>القطاع الثانوي</w:t>
            </w:r>
          </w:p>
        </w:tc>
        <w:tc>
          <w:tcPr>
            <w:tcW w:w="1417"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20.3</w:t>
            </w:r>
          </w:p>
        </w:tc>
        <w:tc>
          <w:tcPr>
            <w:tcW w:w="1418"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19.6</w:t>
            </w:r>
          </w:p>
        </w:tc>
        <w:tc>
          <w:tcPr>
            <w:tcW w:w="1559"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26.1</w:t>
            </w:r>
          </w:p>
        </w:tc>
        <w:tc>
          <w:tcPr>
            <w:tcW w:w="1450"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26.0</w:t>
            </w:r>
          </w:p>
        </w:tc>
      </w:tr>
      <w:tr w:rsidR="003E1F3A" w:rsidRPr="000665F7" w:rsidTr="00E03687">
        <w:trPr>
          <w:trHeight w:val="283"/>
        </w:trPr>
        <w:tc>
          <w:tcPr>
            <w:tcW w:w="3368" w:type="dxa"/>
            <w:shd w:val="clear" w:color="auto" w:fill="FBD4B4" w:themeFill="accent6" w:themeFillTint="66"/>
          </w:tcPr>
          <w:p w:rsidR="003E1F3A" w:rsidRPr="007D7E78" w:rsidRDefault="003E1F3A" w:rsidP="0074684E">
            <w:pPr>
              <w:bidi/>
              <w:spacing w:after="120"/>
              <w:ind w:right="283"/>
              <w:rPr>
                <w:noProof/>
                <w:rtl/>
                <w:lang w:bidi="ar-MA"/>
              </w:rPr>
            </w:pPr>
            <w:r>
              <w:rPr>
                <w:rFonts w:hint="cs"/>
                <w:noProof/>
                <w:rtl/>
                <w:lang w:bidi="ar-MA"/>
              </w:rPr>
              <w:t>القطاع الثالثي</w:t>
            </w:r>
          </w:p>
        </w:tc>
        <w:tc>
          <w:tcPr>
            <w:tcW w:w="1417"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47.9</w:t>
            </w:r>
          </w:p>
        </w:tc>
        <w:tc>
          <w:tcPr>
            <w:tcW w:w="1418"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50.3</w:t>
            </w:r>
          </w:p>
        </w:tc>
        <w:tc>
          <w:tcPr>
            <w:tcW w:w="1559"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49.7</w:t>
            </w:r>
          </w:p>
        </w:tc>
        <w:tc>
          <w:tcPr>
            <w:tcW w:w="1450"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50.3</w:t>
            </w:r>
          </w:p>
        </w:tc>
      </w:tr>
      <w:tr w:rsidR="003E1F3A" w:rsidRPr="000665F7" w:rsidTr="00E03687">
        <w:trPr>
          <w:trHeight w:val="283"/>
        </w:trPr>
        <w:tc>
          <w:tcPr>
            <w:tcW w:w="3368" w:type="dxa"/>
            <w:shd w:val="clear" w:color="auto" w:fill="FBD4B4" w:themeFill="accent6" w:themeFillTint="66"/>
          </w:tcPr>
          <w:p w:rsidR="003E1F3A" w:rsidRDefault="003E1F3A" w:rsidP="0074684E">
            <w:pPr>
              <w:bidi/>
              <w:spacing w:after="120"/>
              <w:ind w:right="283"/>
              <w:rPr>
                <w:noProof/>
                <w:rtl/>
                <w:lang w:bidi="ar-MA"/>
              </w:rPr>
            </w:pPr>
            <w:r>
              <w:rPr>
                <w:rFonts w:hint="cs"/>
                <w:noProof/>
                <w:rtl/>
                <w:lang w:bidi="ar-MA"/>
              </w:rPr>
              <w:t>الضرائب الخالصة على الدعم للمنتوجات</w:t>
            </w:r>
          </w:p>
        </w:tc>
        <w:tc>
          <w:tcPr>
            <w:tcW w:w="1417"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13.2</w:t>
            </w:r>
          </w:p>
        </w:tc>
        <w:tc>
          <w:tcPr>
            <w:tcW w:w="1418"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14.7</w:t>
            </w:r>
          </w:p>
        </w:tc>
        <w:tc>
          <w:tcPr>
            <w:tcW w:w="1559"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11.5</w:t>
            </w:r>
          </w:p>
        </w:tc>
        <w:tc>
          <w:tcPr>
            <w:tcW w:w="1450" w:type="dxa"/>
            <w:shd w:val="clear" w:color="auto" w:fill="F2DBDB" w:themeFill="accent2" w:themeFillTint="33"/>
          </w:tcPr>
          <w:p w:rsidR="003E1F3A" w:rsidRPr="006D160C" w:rsidRDefault="003E1F3A" w:rsidP="006D160C">
            <w:pPr>
              <w:jc w:val="center"/>
              <w:rPr>
                <w:rFonts w:ascii="Book Antiqua" w:hAnsi="Book Antiqua"/>
                <w:color w:val="000000"/>
                <w:rtl/>
              </w:rPr>
            </w:pPr>
            <w:r w:rsidRPr="006D160C">
              <w:rPr>
                <w:rFonts w:ascii="Book Antiqua" w:hAnsi="Book Antiqua" w:hint="cs"/>
                <w:color w:val="000000"/>
                <w:rtl/>
              </w:rPr>
              <w:t>11.7</w:t>
            </w:r>
          </w:p>
        </w:tc>
      </w:tr>
    </w:tbl>
    <w:p w:rsidR="00E779F7" w:rsidRDefault="00101E96" w:rsidP="00AA0AA2">
      <w:pPr>
        <w:bidi/>
        <w:spacing w:after="0" w:line="240" w:lineRule="auto"/>
        <w:ind w:right="283"/>
        <w:rPr>
          <w:rFonts w:ascii="Book Antiqua" w:hAnsi="Book Antiqua" w:cs="Simplified Arabic"/>
          <w:sz w:val="16"/>
          <w:szCs w:val="16"/>
          <w:lang w:bidi="ar-MA"/>
        </w:rPr>
      </w:pPr>
      <w:r>
        <w:rPr>
          <w:rFonts w:ascii="Book Antiqua" w:hAnsi="Book Antiqua" w:cs="Simplified Arabic" w:hint="cs"/>
          <w:sz w:val="16"/>
          <w:szCs w:val="16"/>
          <w:rtl/>
          <w:lang w:bidi="ar-MA"/>
        </w:rPr>
        <w:t>*</w:t>
      </w:r>
      <w:r w:rsidRPr="00D909F3">
        <w:rPr>
          <w:rFonts w:ascii="Book Antiqua" w:hAnsi="Book Antiqua" w:cs="Simplified Arabic"/>
          <w:sz w:val="16"/>
          <w:szCs w:val="16"/>
          <w:rtl/>
          <w:lang w:bidi="ar-MA"/>
        </w:rPr>
        <w:t xml:space="preserve"> معطيات شبه-نهائية</w:t>
      </w:r>
    </w:p>
    <w:p w:rsidR="00552317" w:rsidRPr="00051ED3" w:rsidRDefault="00552317" w:rsidP="00552317">
      <w:pPr>
        <w:bidi/>
        <w:spacing w:after="0" w:line="240" w:lineRule="auto"/>
        <w:ind w:right="283"/>
        <w:rPr>
          <w:b/>
          <w:bCs/>
          <w:lang w:bidi="ar-MA"/>
        </w:rPr>
      </w:pPr>
    </w:p>
    <w:p w:rsidR="009A1EFF" w:rsidRDefault="009A1EFF" w:rsidP="009A1EFF">
      <w:pPr>
        <w:spacing w:after="0" w:line="240" w:lineRule="auto"/>
        <w:jc w:val="right"/>
        <w:rPr>
          <w:rtl/>
          <w:lang w:bidi="ar-MA"/>
        </w:rPr>
      </w:pPr>
      <w:r w:rsidRPr="00C35705">
        <w:rPr>
          <w:b/>
          <w:bCs/>
          <w:rtl/>
          <w:lang w:bidi="ar-MA"/>
        </w:rPr>
        <w:t>الناتج الداخلي الإجمالي (بالأسعار الجارية) حسب فرع النشاط</w:t>
      </w:r>
      <w:r>
        <w:rPr>
          <w:rFonts w:hint="cs"/>
          <w:b/>
          <w:bCs/>
          <w:rtl/>
          <w:lang w:bidi="ar-MA"/>
        </w:rPr>
        <w:t xml:space="preserve"> </w:t>
      </w:r>
      <w:r w:rsidRPr="00C35705">
        <w:rPr>
          <w:b/>
          <w:bCs/>
          <w:rtl/>
          <w:lang w:bidi="ar-MA"/>
        </w:rPr>
        <w:t xml:space="preserve">ونفقات </w:t>
      </w:r>
      <w:r w:rsidRPr="00C35705">
        <w:rPr>
          <w:rFonts w:hint="cs"/>
          <w:b/>
          <w:bCs/>
          <w:rtl/>
          <w:lang w:bidi="ar-MA"/>
        </w:rPr>
        <w:t>الاستهلاك</w:t>
      </w:r>
      <w:r w:rsidRPr="00C35705">
        <w:rPr>
          <w:b/>
          <w:bCs/>
          <w:rtl/>
          <w:lang w:bidi="ar-MA"/>
        </w:rPr>
        <w:t xml:space="preserve"> النهائي للأسر</w:t>
      </w:r>
      <w:r w:rsidRPr="00C35705">
        <w:rPr>
          <w:rFonts w:hint="cs"/>
          <w:b/>
          <w:bCs/>
          <w:rtl/>
          <w:lang w:bidi="ar-MA"/>
        </w:rPr>
        <w:t xml:space="preserve"> بجهة</w:t>
      </w:r>
      <w:r w:rsidRPr="00C35705">
        <w:rPr>
          <w:b/>
          <w:bCs/>
          <w:rtl/>
          <w:lang w:bidi="ar-MA"/>
        </w:rPr>
        <w:t xml:space="preserve"> مراكش-</w:t>
      </w:r>
      <w:r w:rsidRPr="00C35705">
        <w:rPr>
          <w:rFonts w:hint="cs"/>
          <w:b/>
          <w:bCs/>
          <w:rtl/>
          <w:lang w:bidi="ar-MA"/>
        </w:rPr>
        <w:t>أسفي</w:t>
      </w:r>
      <w:r w:rsidR="00890B77">
        <w:rPr>
          <w:rFonts w:hint="cs"/>
          <w:b/>
          <w:bCs/>
          <w:rtl/>
          <w:lang w:bidi="ar-MA"/>
        </w:rPr>
        <w:t>:</w:t>
      </w:r>
    </w:p>
    <w:tbl>
      <w:tblPr>
        <w:tblStyle w:val="Grilledutableau"/>
        <w:bidiVisual/>
        <w:tblW w:w="0" w:type="auto"/>
        <w:tblLook w:val="04A0"/>
      </w:tblPr>
      <w:tblGrid>
        <w:gridCol w:w="3084"/>
        <w:gridCol w:w="1276"/>
        <w:gridCol w:w="1276"/>
        <w:gridCol w:w="1276"/>
        <w:gridCol w:w="1134"/>
        <w:gridCol w:w="1166"/>
      </w:tblGrid>
      <w:tr w:rsidR="007A4831" w:rsidTr="00E03687">
        <w:tc>
          <w:tcPr>
            <w:tcW w:w="3084" w:type="dxa"/>
            <w:vMerge w:val="restart"/>
            <w:shd w:val="clear" w:color="auto" w:fill="FBD4B4" w:themeFill="accent6" w:themeFillTint="66"/>
          </w:tcPr>
          <w:p w:rsidR="007A4831" w:rsidRDefault="007A4831" w:rsidP="007A4831">
            <w:pPr>
              <w:bidi/>
              <w:jc w:val="center"/>
              <w:rPr>
                <w:rtl/>
                <w:lang w:bidi="ar-MA"/>
              </w:rPr>
            </w:pPr>
            <w:r w:rsidRPr="00C35705">
              <w:rPr>
                <w:rFonts w:ascii="Arial" w:hAnsi="Arial" w:cs="Arial"/>
                <w:color w:val="000000"/>
                <w:rtl/>
              </w:rPr>
              <w:t>قطاع النشاط الاقتصادي</w:t>
            </w:r>
          </w:p>
        </w:tc>
        <w:tc>
          <w:tcPr>
            <w:tcW w:w="2552" w:type="dxa"/>
            <w:gridSpan w:val="2"/>
            <w:shd w:val="clear" w:color="auto" w:fill="FBD4B4" w:themeFill="accent6" w:themeFillTint="66"/>
          </w:tcPr>
          <w:p w:rsidR="007A4831" w:rsidRDefault="007A4831" w:rsidP="007A4831">
            <w:pPr>
              <w:bidi/>
              <w:jc w:val="center"/>
              <w:rPr>
                <w:rtl/>
                <w:lang w:bidi="ar-MA"/>
              </w:rPr>
            </w:pPr>
            <w:r>
              <w:rPr>
                <w:rFonts w:hint="cs"/>
                <w:rtl/>
                <w:lang w:bidi="ar-MA"/>
              </w:rPr>
              <w:t>القيمة بمليون درهم</w:t>
            </w:r>
          </w:p>
        </w:tc>
        <w:tc>
          <w:tcPr>
            <w:tcW w:w="1276" w:type="dxa"/>
            <w:vMerge w:val="restart"/>
            <w:shd w:val="clear" w:color="auto" w:fill="FBD4B4" w:themeFill="accent6" w:themeFillTint="66"/>
          </w:tcPr>
          <w:p w:rsidR="007A4831" w:rsidRDefault="007A4831" w:rsidP="007A4831">
            <w:pPr>
              <w:bidi/>
              <w:jc w:val="center"/>
              <w:rPr>
                <w:rtl/>
                <w:lang w:bidi="ar-MA"/>
              </w:rPr>
            </w:pPr>
            <w:r>
              <w:rPr>
                <w:rFonts w:hint="cs"/>
                <w:rtl/>
                <w:lang w:bidi="ar-MA"/>
              </w:rPr>
              <w:t>التطور ب</w:t>
            </w:r>
            <w:r w:rsidR="00101E96">
              <w:rPr>
                <w:rFonts w:hint="cs"/>
                <w:rtl/>
                <w:lang w:bidi="ar-MA"/>
              </w:rPr>
              <w:t xml:space="preserve"> </w:t>
            </w:r>
            <w:r w:rsidR="00101E96" w:rsidRPr="00F12813">
              <w:rPr>
                <w:rFonts w:ascii="Arial" w:hAnsi="Arial" w:cs="Arial"/>
                <w:b/>
                <w:bCs/>
                <w:sz w:val="24"/>
                <w:szCs w:val="24"/>
                <w:rtl/>
              </w:rPr>
              <w:t>%</w:t>
            </w:r>
          </w:p>
        </w:tc>
        <w:tc>
          <w:tcPr>
            <w:tcW w:w="2300" w:type="dxa"/>
            <w:gridSpan w:val="2"/>
            <w:shd w:val="clear" w:color="auto" w:fill="FBD4B4" w:themeFill="accent6" w:themeFillTint="66"/>
          </w:tcPr>
          <w:p w:rsidR="007A4831" w:rsidRDefault="007A4831" w:rsidP="007A4831">
            <w:pPr>
              <w:bidi/>
              <w:jc w:val="center"/>
              <w:rPr>
                <w:rtl/>
                <w:lang w:bidi="ar-MA"/>
              </w:rPr>
            </w:pPr>
            <w:r>
              <w:rPr>
                <w:rFonts w:hint="cs"/>
                <w:rtl/>
                <w:lang w:bidi="ar-MA"/>
              </w:rPr>
              <w:t>النسبة من المجموع</w:t>
            </w:r>
          </w:p>
        </w:tc>
      </w:tr>
      <w:tr w:rsidR="007A4831" w:rsidTr="00E03687">
        <w:tc>
          <w:tcPr>
            <w:tcW w:w="3084" w:type="dxa"/>
            <w:vMerge/>
          </w:tcPr>
          <w:p w:rsidR="007A4831" w:rsidRDefault="007A4831" w:rsidP="007A4831">
            <w:pPr>
              <w:bidi/>
              <w:rPr>
                <w:rtl/>
                <w:lang w:bidi="ar-MA"/>
              </w:rPr>
            </w:pPr>
          </w:p>
        </w:tc>
        <w:tc>
          <w:tcPr>
            <w:tcW w:w="1276" w:type="dxa"/>
            <w:shd w:val="clear" w:color="auto" w:fill="FABF8F" w:themeFill="accent6" w:themeFillTint="99"/>
          </w:tcPr>
          <w:p w:rsidR="007A4831" w:rsidRDefault="007A4831" w:rsidP="0074684E">
            <w:pPr>
              <w:bidi/>
              <w:jc w:val="center"/>
              <w:rPr>
                <w:rtl/>
                <w:lang w:bidi="ar-MA"/>
              </w:rPr>
            </w:pPr>
            <w:r>
              <w:rPr>
                <w:rFonts w:hint="cs"/>
                <w:rtl/>
                <w:lang w:bidi="ar-MA"/>
              </w:rPr>
              <w:t>2015</w:t>
            </w:r>
          </w:p>
        </w:tc>
        <w:tc>
          <w:tcPr>
            <w:tcW w:w="1276" w:type="dxa"/>
            <w:shd w:val="clear" w:color="auto" w:fill="FABF8F" w:themeFill="accent6" w:themeFillTint="99"/>
          </w:tcPr>
          <w:p w:rsidR="007A4831" w:rsidRDefault="007A4831" w:rsidP="00101E96">
            <w:pPr>
              <w:bidi/>
              <w:jc w:val="center"/>
              <w:rPr>
                <w:rtl/>
                <w:lang w:bidi="ar-MA"/>
              </w:rPr>
            </w:pPr>
            <w:r>
              <w:rPr>
                <w:rFonts w:hint="cs"/>
                <w:rtl/>
                <w:lang w:bidi="ar-MA"/>
              </w:rPr>
              <w:t>2016</w:t>
            </w:r>
            <w:r w:rsidR="00101E96">
              <w:rPr>
                <w:rFonts w:hint="cs"/>
                <w:rtl/>
                <w:lang w:bidi="ar-MA"/>
              </w:rPr>
              <w:t>*</w:t>
            </w:r>
          </w:p>
        </w:tc>
        <w:tc>
          <w:tcPr>
            <w:tcW w:w="1276" w:type="dxa"/>
            <w:vMerge/>
          </w:tcPr>
          <w:p w:rsidR="007A4831" w:rsidRDefault="007A4831" w:rsidP="007A4831">
            <w:pPr>
              <w:bidi/>
              <w:rPr>
                <w:rtl/>
                <w:lang w:bidi="ar-MA"/>
              </w:rPr>
            </w:pPr>
          </w:p>
        </w:tc>
        <w:tc>
          <w:tcPr>
            <w:tcW w:w="1134" w:type="dxa"/>
            <w:shd w:val="clear" w:color="auto" w:fill="FABF8F" w:themeFill="accent6" w:themeFillTint="99"/>
          </w:tcPr>
          <w:p w:rsidR="007A4831" w:rsidRDefault="007A4831" w:rsidP="007A4831">
            <w:pPr>
              <w:bidi/>
              <w:jc w:val="center"/>
              <w:rPr>
                <w:rtl/>
                <w:lang w:bidi="ar-MA"/>
              </w:rPr>
            </w:pPr>
            <w:r>
              <w:rPr>
                <w:rFonts w:hint="cs"/>
                <w:rtl/>
                <w:lang w:bidi="ar-MA"/>
              </w:rPr>
              <w:t>2015</w:t>
            </w:r>
          </w:p>
        </w:tc>
        <w:tc>
          <w:tcPr>
            <w:tcW w:w="1166" w:type="dxa"/>
            <w:shd w:val="clear" w:color="auto" w:fill="FABF8F" w:themeFill="accent6" w:themeFillTint="99"/>
          </w:tcPr>
          <w:p w:rsidR="007A4831" w:rsidRDefault="00101E96" w:rsidP="007A4831">
            <w:pPr>
              <w:bidi/>
              <w:jc w:val="center"/>
              <w:rPr>
                <w:rtl/>
                <w:lang w:bidi="ar-MA"/>
              </w:rPr>
            </w:pPr>
            <w:r>
              <w:rPr>
                <w:rFonts w:hint="cs"/>
                <w:rtl/>
                <w:lang w:bidi="ar-MA"/>
              </w:rPr>
              <w:t>*</w:t>
            </w:r>
            <w:r w:rsidR="007A4831">
              <w:rPr>
                <w:rFonts w:hint="cs"/>
                <w:rtl/>
                <w:lang w:bidi="ar-MA"/>
              </w:rPr>
              <w:t>2016</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الفلاحة</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15978</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13233</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-17,2</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13,9</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12,0</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الصيد</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348</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450</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29,5</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3,5</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4,1</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صناعة الاستخراج المعدني والصناعة التحويلية</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12908</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12192</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-5,5</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7,1</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6,8</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 xml:space="preserve"> إنتاج وتوزيع الماء والكهرباء</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974</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1184</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21,6</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4,6</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4,7</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البناء و الأشغال العمومية</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3999</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4083</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2,1</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7,3</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7,1</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 xml:space="preserve">التجارة </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7273</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7985</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9,8</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9,4</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9,8</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الفنادق و المطاعم</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5780</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6408</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10,9</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27,3</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28,5</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النقل، البريد والمواصلات</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2667</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2758</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3,4</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4,6</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4,7</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أنشطة مالية و تأمينية</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1877</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1775</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-5,5</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4,0</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3,8</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 xml:space="preserve"> العقار، الإيجار والخدمات المقدمة للمقاولات</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9002</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10160</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12,9</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8,8</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9,3</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 xml:space="preserve">الإدارات العامة و الضمان </w:t>
            </w:r>
            <w:r w:rsidRPr="00B15074">
              <w:rPr>
                <w:rFonts w:ascii="Arial" w:hAnsi="Arial" w:cs="Arial" w:hint="cs"/>
                <w:color w:val="000000"/>
                <w:rtl/>
              </w:rPr>
              <w:t>الاجتماعي</w:t>
            </w:r>
            <w:r w:rsidRPr="00B15074">
              <w:rPr>
                <w:rFonts w:ascii="Arial" w:hAnsi="Arial" w:cs="Arial"/>
                <w:color w:val="000000"/>
                <w:rtl/>
              </w:rPr>
              <w:t xml:space="preserve"> </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5177</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5227</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1,0</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5,7</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5,6</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التعليم، الصحة و العمل الاجتماعي</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8679</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8683</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0,1</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10,6</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10,4</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خدمات أخرى غير مالية</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1627</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1689</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3,8</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12,0</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12,0</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b/>
                <w:bCs/>
                <w:color w:val="000000"/>
              </w:rPr>
            </w:pPr>
            <w:r w:rsidRPr="00B15074">
              <w:rPr>
                <w:rFonts w:ascii="Arial" w:hAnsi="Arial" w:cs="Arial"/>
                <w:b/>
                <w:bCs/>
                <w:color w:val="000000"/>
                <w:rtl/>
              </w:rPr>
              <w:t xml:space="preserve">  مجموع القيمة المضافة بسعر الأساس</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76289</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75829</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-0,6</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8,7</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b/>
                <w:bCs/>
                <w:color w:val="000000"/>
              </w:rPr>
            </w:pPr>
            <w:r w:rsidRPr="00B15074">
              <w:rPr>
                <w:rFonts w:ascii="Book Antiqua" w:hAnsi="Book Antiqua"/>
                <w:b/>
                <w:bCs/>
                <w:color w:val="000000"/>
              </w:rPr>
              <w:t>8,5</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color w:val="000000"/>
              </w:rPr>
            </w:pPr>
            <w:r w:rsidRPr="00B15074">
              <w:rPr>
                <w:rFonts w:ascii="Arial" w:hAnsi="Arial" w:cs="Arial"/>
                <w:color w:val="000000"/>
                <w:rtl/>
              </w:rPr>
              <w:t xml:space="preserve"> الضرائب الخالصة من الدعم على المنتوجات</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11599</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13083</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12,8</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color w:val="000000"/>
              </w:rPr>
            </w:pPr>
            <w:r w:rsidRPr="00B15074">
              <w:rPr>
                <w:rFonts w:ascii="Book Antiqua" w:hAnsi="Book Antiqua"/>
                <w:color w:val="000000"/>
              </w:rPr>
              <w:t>10,2</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color w:val="000000"/>
              </w:rPr>
            </w:pPr>
            <w:r w:rsidRPr="00B15074">
              <w:rPr>
                <w:rFonts w:ascii="Book Antiqua" w:hAnsi="Book Antiqua"/>
                <w:color w:val="000000"/>
              </w:rPr>
              <w:t>11,0</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b/>
                <w:bCs/>
                <w:color w:val="000000"/>
              </w:rPr>
            </w:pPr>
            <w:r w:rsidRPr="00B15074">
              <w:rPr>
                <w:rFonts w:ascii="Arial" w:hAnsi="Arial" w:cs="Arial"/>
                <w:b/>
                <w:bCs/>
                <w:color w:val="000000"/>
                <w:rtl/>
              </w:rPr>
              <w:t>الناتج الداخلي الإجمالي للجهة</w:t>
            </w:r>
          </w:p>
        </w:tc>
        <w:tc>
          <w:tcPr>
            <w:tcW w:w="1276" w:type="dxa"/>
            <w:shd w:val="clear" w:color="auto" w:fill="F2DBDB" w:themeFill="accent2" w:themeFillTint="33"/>
            <w:vAlign w:val="center"/>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87888</w:t>
            </w:r>
          </w:p>
        </w:tc>
        <w:tc>
          <w:tcPr>
            <w:tcW w:w="1276" w:type="dxa"/>
            <w:shd w:val="clear" w:color="auto" w:fill="F2DBDB" w:themeFill="accent2" w:themeFillTint="33"/>
            <w:vAlign w:val="center"/>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88912</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1,2</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8,9</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b/>
                <w:bCs/>
                <w:color w:val="000000"/>
              </w:rPr>
            </w:pPr>
            <w:r w:rsidRPr="00B15074">
              <w:rPr>
                <w:rFonts w:ascii="Book Antiqua" w:hAnsi="Book Antiqua"/>
                <w:b/>
                <w:bCs/>
                <w:color w:val="000000"/>
              </w:rPr>
              <w:t>8,8</w:t>
            </w:r>
          </w:p>
        </w:tc>
      </w:tr>
      <w:tr w:rsidR="00134718" w:rsidTr="00E03687">
        <w:tc>
          <w:tcPr>
            <w:tcW w:w="3084" w:type="dxa"/>
            <w:shd w:val="clear" w:color="auto" w:fill="FBD4B4" w:themeFill="accent6" w:themeFillTint="66"/>
            <w:vAlign w:val="bottom"/>
          </w:tcPr>
          <w:p w:rsidR="00134718" w:rsidRPr="00B15074" w:rsidRDefault="00134718" w:rsidP="0074684E">
            <w:pPr>
              <w:bidi/>
              <w:rPr>
                <w:rFonts w:ascii="Arial" w:hAnsi="Arial" w:cs="Arial"/>
                <w:b/>
                <w:bCs/>
                <w:color w:val="000000"/>
              </w:rPr>
            </w:pPr>
            <w:r w:rsidRPr="00B15074">
              <w:rPr>
                <w:rFonts w:ascii="Arial" w:hAnsi="Arial" w:cs="Arial"/>
                <w:b/>
                <w:bCs/>
                <w:color w:val="000000"/>
                <w:rtl/>
              </w:rPr>
              <w:t>نفقات الإستهلاك النهائي للأسر</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62323</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65522</w:t>
            </w:r>
          </w:p>
        </w:tc>
        <w:tc>
          <w:tcPr>
            <w:tcW w:w="1276"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5,1</w:t>
            </w:r>
          </w:p>
        </w:tc>
        <w:tc>
          <w:tcPr>
            <w:tcW w:w="1134" w:type="dxa"/>
            <w:shd w:val="clear" w:color="auto" w:fill="F2DBDB" w:themeFill="accent2" w:themeFillTint="33"/>
            <w:vAlign w:val="bottom"/>
          </w:tcPr>
          <w:p w:rsidR="00134718" w:rsidRPr="00B15074" w:rsidRDefault="00134718" w:rsidP="0074684E">
            <w:pPr>
              <w:jc w:val="center"/>
              <w:rPr>
                <w:rFonts w:ascii="Book Antiqua" w:hAnsi="Book Antiqua"/>
                <w:b/>
                <w:bCs/>
                <w:color w:val="000000"/>
              </w:rPr>
            </w:pPr>
            <w:r w:rsidRPr="00B15074">
              <w:rPr>
                <w:rFonts w:ascii="Book Antiqua" w:hAnsi="Book Antiqua"/>
                <w:b/>
                <w:bCs/>
                <w:color w:val="000000"/>
              </w:rPr>
              <w:t>11,1</w:t>
            </w:r>
          </w:p>
        </w:tc>
        <w:tc>
          <w:tcPr>
            <w:tcW w:w="1166" w:type="dxa"/>
            <w:shd w:val="clear" w:color="auto" w:fill="F2DBDB" w:themeFill="accent2" w:themeFillTint="33"/>
            <w:vAlign w:val="bottom"/>
          </w:tcPr>
          <w:p w:rsidR="00134718" w:rsidRPr="00B15074" w:rsidRDefault="00134718" w:rsidP="000F6627">
            <w:pPr>
              <w:jc w:val="center"/>
              <w:rPr>
                <w:rFonts w:ascii="Book Antiqua" w:hAnsi="Book Antiqua"/>
                <w:b/>
                <w:bCs/>
                <w:color w:val="000000"/>
              </w:rPr>
            </w:pPr>
            <w:r w:rsidRPr="00B15074">
              <w:rPr>
                <w:rFonts w:ascii="Book Antiqua" w:hAnsi="Book Antiqua"/>
                <w:b/>
                <w:bCs/>
                <w:color w:val="000000"/>
              </w:rPr>
              <w:t>11,2</w:t>
            </w:r>
          </w:p>
        </w:tc>
      </w:tr>
    </w:tbl>
    <w:p w:rsidR="00134718" w:rsidRDefault="00101E96" w:rsidP="00101E96">
      <w:pPr>
        <w:bidi/>
        <w:rPr>
          <w:rFonts w:ascii="Arial" w:hAnsi="Arial" w:cs="Arial"/>
          <w:b/>
          <w:bCs/>
          <w:sz w:val="32"/>
          <w:szCs w:val="32"/>
          <w:rtl/>
        </w:rPr>
      </w:pPr>
      <w:r>
        <w:rPr>
          <w:rFonts w:ascii="Book Antiqua" w:hAnsi="Book Antiqua" w:cs="Simplified Arabic" w:hint="cs"/>
          <w:sz w:val="16"/>
          <w:szCs w:val="16"/>
          <w:rtl/>
          <w:lang w:bidi="ar-MA"/>
        </w:rPr>
        <w:t>*</w:t>
      </w:r>
      <w:r w:rsidRPr="00D909F3">
        <w:rPr>
          <w:rFonts w:ascii="Book Antiqua" w:hAnsi="Book Antiqua" w:cs="Simplified Arabic"/>
          <w:sz w:val="16"/>
          <w:szCs w:val="16"/>
          <w:rtl/>
          <w:lang w:bidi="ar-MA"/>
        </w:rPr>
        <w:t xml:space="preserve"> معطيات شبه-نهائية</w:t>
      </w:r>
    </w:p>
    <w:p w:rsidR="00F30256" w:rsidRDefault="00F30256" w:rsidP="00134718">
      <w:pPr>
        <w:bidi/>
        <w:jc w:val="center"/>
        <w:rPr>
          <w:rFonts w:ascii="Arial" w:hAnsi="Arial" w:cs="Arial"/>
          <w:b/>
          <w:bCs/>
          <w:sz w:val="32"/>
          <w:szCs w:val="32"/>
          <w:rtl/>
        </w:rPr>
      </w:pPr>
    </w:p>
    <w:p w:rsidR="006D160C" w:rsidRDefault="006D160C" w:rsidP="00F30256">
      <w:pPr>
        <w:bidi/>
        <w:spacing w:after="0" w:line="240" w:lineRule="auto"/>
        <w:jc w:val="center"/>
        <w:rPr>
          <w:rFonts w:hint="cs"/>
          <w:b/>
          <w:bCs/>
          <w:rtl/>
          <w:lang w:bidi="ar-MA"/>
        </w:rPr>
      </w:pPr>
    </w:p>
    <w:p w:rsidR="00672120" w:rsidRDefault="00672120" w:rsidP="006D160C">
      <w:pPr>
        <w:bidi/>
        <w:spacing w:after="0" w:line="240" w:lineRule="auto"/>
        <w:rPr>
          <w:rFonts w:ascii="Arial" w:hAnsi="Arial" w:cs="Arial"/>
          <w:b/>
          <w:bCs/>
          <w:color w:val="000000"/>
          <w:sz w:val="32"/>
          <w:szCs w:val="32"/>
          <w:rtl/>
        </w:rPr>
      </w:pPr>
      <w:r w:rsidRPr="006D160C">
        <w:rPr>
          <w:b/>
          <w:bCs/>
          <w:rtl/>
          <w:lang w:bidi="ar-MA"/>
        </w:rPr>
        <w:lastRenderedPageBreak/>
        <w:t xml:space="preserve">نمو الناتج الداخلي الإجمالي حسب فروع النشاط </w:t>
      </w:r>
      <w:r w:rsidRPr="006D160C">
        <w:rPr>
          <w:rFonts w:hint="cs"/>
          <w:b/>
          <w:bCs/>
          <w:rtl/>
          <w:lang w:bidi="ar-MA"/>
        </w:rPr>
        <w:t>ب</w:t>
      </w:r>
      <w:r w:rsidRPr="006D160C">
        <w:rPr>
          <w:b/>
          <w:bCs/>
          <w:rtl/>
          <w:lang w:bidi="ar-MA"/>
        </w:rPr>
        <w:t>جهة مراكش-</w:t>
      </w:r>
      <w:r w:rsidRPr="006D160C">
        <w:rPr>
          <w:rFonts w:hint="cs"/>
          <w:b/>
          <w:bCs/>
          <w:rtl/>
          <w:lang w:bidi="ar-MA"/>
        </w:rPr>
        <w:t>أسفي</w:t>
      </w:r>
      <w:r w:rsidR="00890B77">
        <w:rPr>
          <w:rFonts w:hint="cs"/>
          <w:b/>
          <w:bCs/>
          <w:rtl/>
          <w:lang w:bidi="ar-MA"/>
        </w:rPr>
        <w:t>:</w:t>
      </w:r>
    </w:p>
    <w:tbl>
      <w:tblPr>
        <w:tblStyle w:val="Grilledutableau"/>
        <w:bidiVisual/>
        <w:tblW w:w="0" w:type="auto"/>
        <w:tblLook w:val="04A0"/>
      </w:tblPr>
      <w:tblGrid>
        <w:gridCol w:w="3070"/>
        <w:gridCol w:w="3071"/>
        <w:gridCol w:w="3071"/>
      </w:tblGrid>
      <w:tr w:rsidR="00101E96" w:rsidTr="00101E96">
        <w:tc>
          <w:tcPr>
            <w:tcW w:w="3070" w:type="dxa"/>
            <w:vMerge w:val="restart"/>
            <w:shd w:val="clear" w:color="auto" w:fill="FBD4B4" w:themeFill="accent6" w:themeFillTint="66"/>
          </w:tcPr>
          <w:p w:rsidR="00101E96" w:rsidRDefault="00101E96" w:rsidP="00F30256">
            <w:pPr>
              <w:bidi/>
              <w:rPr>
                <w:noProof/>
                <w:rtl/>
                <w:lang w:bidi="ar-MA"/>
              </w:rPr>
            </w:pPr>
            <w:r>
              <w:rPr>
                <w:rFonts w:hint="cs"/>
                <w:noProof/>
                <w:rtl/>
                <w:lang w:bidi="ar-MA"/>
              </w:rPr>
              <w:t>قطاع النشاط الاقتصادي</w:t>
            </w:r>
          </w:p>
        </w:tc>
        <w:tc>
          <w:tcPr>
            <w:tcW w:w="6142" w:type="dxa"/>
            <w:gridSpan w:val="2"/>
            <w:shd w:val="clear" w:color="auto" w:fill="FBD4B4" w:themeFill="accent6" w:themeFillTint="66"/>
          </w:tcPr>
          <w:p w:rsidR="00101E96" w:rsidRDefault="00101E96" w:rsidP="00101E96">
            <w:pPr>
              <w:bidi/>
              <w:jc w:val="center"/>
              <w:rPr>
                <w:noProof/>
                <w:rtl/>
                <w:lang w:bidi="ar-MA"/>
              </w:rPr>
            </w:pPr>
            <w:r>
              <w:rPr>
                <w:rFonts w:hint="cs"/>
                <w:noProof/>
                <w:rtl/>
                <w:lang w:bidi="ar-MA"/>
              </w:rPr>
              <w:t xml:space="preserve">النمو بالحجم </w:t>
            </w:r>
            <w:r w:rsidRPr="00F12813">
              <w:rPr>
                <w:rFonts w:ascii="Arial" w:hAnsi="Arial" w:cs="Arial"/>
                <w:b/>
                <w:bCs/>
                <w:sz w:val="24"/>
                <w:szCs w:val="24"/>
                <w:rtl/>
              </w:rPr>
              <w:t>%</w:t>
            </w:r>
          </w:p>
        </w:tc>
      </w:tr>
      <w:tr w:rsidR="00101E96" w:rsidTr="00101E96">
        <w:tc>
          <w:tcPr>
            <w:tcW w:w="3070" w:type="dxa"/>
            <w:vMerge/>
            <w:vAlign w:val="bottom"/>
          </w:tcPr>
          <w:p w:rsidR="00101E96" w:rsidRPr="00F12813" w:rsidRDefault="00101E96" w:rsidP="000F6627">
            <w:pPr>
              <w:bidi/>
              <w:rPr>
                <w:rFonts w:ascii="Arial" w:hAnsi="Arial" w:cs="Arial"/>
                <w:color w:val="000000"/>
              </w:rPr>
            </w:pPr>
          </w:p>
        </w:tc>
        <w:tc>
          <w:tcPr>
            <w:tcW w:w="3071" w:type="dxa"/>
            <w:shd w:val="clear" w:color="auto" w:fill="FABF8F" w:themeFill="accent6" w:themeFillTint="99"/>
          </w:tcPr>
          <w:p w:rsidR="00101E96" w:rsidRDefault="00101E96" w:rsidP="00101E96">
            <w:pPr>
              <w:bidi/>
              <w:jc w:val="center"/>
              <w:rPr>
                <w:noProof/>
                <w:rtl/>
                <w:lang w:bidi="ar-MA"/>
              </w:rPr>
            </w:pPr>
            <w:r>
              <w:rPr>
                <w:rFonts w:hint="cs"/>
                <w:noProof/>
                <w:rtl/>
                <w:lang w:bidi="ar-MA"/>
              </w:rPr>
              <w:t>2015/*2016</w:t>
            </w:r>
          </w:p>
        </w:tc>
        <w:tc>
          <w:tcPr>
            <w:tcW w:w="3071" w:type="dxa"/>
            <w:shd w:val="clear" w:color="auto" w:fill="FABF8F" w:themeFill="accent6" w:themeFillTint="99"/>
          </w:tcPr>
          <w:p w:rsidR="00101E96" w:rsidRDefault="00101E96" w:rsidP="00101E96">
            <w:pPr>
              <w:bidi/>
              <w:jc w:val="center"/>
              <w:rPr>
                <w:noProof/>
                <w:rtl/>
                <w:lang w:bidi="ar-MA"/>
              </w:rPr>
            </w:pPr>
            <w:r>
              <w:rPr>
                <w:rFonts w:hint="cs"/>
                <w:noProof/>
                <w:rtl/>
                <w:lang w:bidi="ar-MA"/>
              </w:rPr>
              <w:t>2014/2015</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الفلاحة</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-27,4</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26,0</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الصيد</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0,9</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17,5</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صناعة الاستخراج المعدني والصناعة التحويلية</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-1,1</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-1,9</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 xml:space="preserve"> إنتاج وتوزيع الماء والكهرباء</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5,2</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-0,3</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البناء و الأشغال العمومية</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-2,2</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-6,1</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 xml:space="preserve">التجارة </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8,8</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1,9</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الفنادق و المطاعم</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7,0</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-4,9</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النقل، البريد والمواصلات</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1,0</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1,0</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أنشطة مالية و تأمينية</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-3,7</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0,7</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 xml:space="preserve"> العقار، الإيجار والخدمات المقدمة للمقاولات</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10,4</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-5,0</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 xml:space="preserve">الإدارات العامة و الضمان الإجتماعي </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-0,6</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0,5</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التعليم، الصحة و العمل الاجتماعي</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-0,7</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-6,4</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خدمات أخرى غير مالية</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2,8</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3,3</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b/>
                <w:bCs/>
                <w:color w:val="000000"/>
              </w:rPr>
            </w:pPr>
            <w:r w:rsidRPr="00F12813">
              <w:rPr>
                <w:rFonts w:ascii="Arial" w:hAnsi="Arial" w:cs="Arial"/>
                <w:b/>
                <w:bCs/>
                <w:color w:val="000000"/>
                <w:rtl/>
              </w:rPr>
              <w:t xml:space="preserve">  مجموع القيمة المضافة بسعر الأساس</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b/>
                <w:bCs/>
                <w:color w:val="000000"/>
              </w:rPr>
            </w:pPr>
            <w:r w:rsidRPr="00F12813">
              <w:rPr>
                <w:rFonts w:ascii="Book Antiqua" w:hAnsi="Book Antiqua"/>
                <w:b/>
                <w:bCs/>
                <w:color w:val="000000"/>
              </w:rPr>
              <w:t>-3,5</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b/>
                <w:bCs/>
                <w:color w:val="000000"/>
              </w:rPr>
            </w:pPr>
            <w:r w:rsidRPr="00F12813">
              <w:rPr>
                <w:rFonts w:ascii="Book Antiqua" w:hAnsi="Book Antiqua"/>
                <w:b/>
                <w:bCs/>
                <w:color w:val="000000"/>
              </w:rPr>
              <w:t>2,2</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color w:val="000000"/>
              </w:rPr>
            </w:pPr>
            <w:r w:rsidRPr="00F12813">
              <w:rPr>
                <w:rFonts w:ascii="Arial" w:hAnsi="Arial" w:cs="Arial"/>
                <w:color w:val="000000"/>
                <w:rtl/>
              </w:rPr>
              <w:t xml:space="preserve"> الضرائب الخالصة من الدعم على المنتوجات</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17,9</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color w:val="000000"/>
              </w:rPr>
            </w:pPr>
            <w:r w:rsidRPr="00F12813">
              <w:rPr>
                <w:rFonts w:ascii="Book Antiqua" w:hAnsi="Book Antiqua"/>
                <w:color w:val="000000"/>
              </w:rPr>
              <w:t>12,8</w:t>
            </w:r>
          </w:p>
        </w:tc>
      </w:tr>
      <w:tr w:rsidR="00101E96" w:rsidTr="00101E96">
        <w:tc>
          <w:tcPr>
            <w:tcW w:w="3070" w:type="dxa"/>
            <w:shd w:val="clear" w:color="auto" w:fill="FBD4B4" w:themeFill="accent6" w:themeFillTint="66"/>
            <w:vAlign w:val="bottom"/>
          </w:tcPr>
          <w:p w:rsidR="00101E96" w:rsidRPr="00F12813" w:rsidRDefault="00101E96" w:rsidP="000F6627">
            <w:pPr>
              <w:bidi/>
              <w:rPr>
                <w:rFonts w:ascii="Arial" w:hAnsi="Arial" w:cs="Arial"/>
                <w:b/>
                <w:bCs/>
                <w:color w:val="000000"/>
              </w:rPr>
            </w:pPr>
            <w:r w:rsidRPr="00F12813">
              <w:rPr>
                <w:rFonts w:ascii="Arial" w:hAnsi="Arial" w:cs="Arial"/>
                <w:b/>
                <w:bCs/>
                <w:color w:val="000000"/>
                <w:rtl/>
              </w:rPr>
              <w:t>الناتج الداخلي الإجمالي للجهة</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b/>
                <w:bCs/>
                <w:color w:val="000000"/>
              </w:rPr>
            </w:pPr>
            <w:r w:rsidRPr="00F12813">
              <w:rPr>
                <w:rFonts w:ascii="Book Antiqua" w:hAnsi="Book Antiqua"/>
                <w:b/>
                <w:bCs/>
                <w:color w:val="000000"/>
              </w:rPr>
              <w:t>-0,7</w:t>
            </w:r>
          </w:p>
        </w:tc>
        <w:tc>
          <w:tcPr>
            <w:tcW w:w="3071" w:type="dxa"/>
            <w:shd w:val="clear" w:color="auto" w:fill="F2DBDB" w:themeFill="accent2" w:themeFillTint="33"/>
            <w:vAlign w:val="bottom"/>
          </w:tcPr>
          <w:p w:rsidR="00101E96" w:rsidRPr="00F12813" w:rsidRDefault="00101E96" w:rsidP="000F6627">
            <w:pPr>
              <w:jc w:val="center"/>
              <w:rPr>
                <w:rFonts w:ascii="Book Antiqua" w:hAnsi="Book Antiqua"/>
                <w:b/>
                <w:bCs/>
                <w:color w:val="000000"/>
              </w:rPr>
            </w:pPr>
            <w:r w:rsidRPr="00F12813">
              <w:rPr>
                <w:rFonts w:ascii="Book Antiqua" w:hAnsi="Book Antiqua"/>
                <w:b/>
                <w:bCs/>
                <w:color w:val="000000"/>
              </w:rPr>
              <w:t>3,5</w:t>
            </w:r>
          </w:p>
        </w:tc>
      </w:tr>
    </w:tbl>
    <w:p w:rsidR="00672120" w:rsidRPr="007D2A91" w:rsidRDefault="00101E96" w:rsidP="00101E96">
      <w:pPr>
        <w:pStyle w:val="Paragraphedeliste"/>
        <w:bidi/>
        <w:ind w:left="0"/>
        <w:jc w:val="both"/>
        <w:rPr>
          <w:rFonts w:cs="Simplified Arabic"/>
          <w:sz w:val="29"/>
          <w:szCs w:val="29"/>
          <w:lang w:bidi="ar-MA"/>
        </w:rPr>
      </w:pPr>
      <w:r>
        <w:rPr>
          <w:rFonts w:ascii="Book Antiqua" w:hAnsi="Book Antiqua" w:cs="Simplified Arabic" w:hint="cs"/>
          <w:sz w:val="16"/>
          <w:szCs w:val="16"/>
          <w:rtl/>
          <w:lang w:bidi="ar-MA"/>
        </w:rPr>
        <w:t>*</w:t>
      </w:r>
      <w:r w:rsidR="00672120" w:rsidRPr="00D909F3">
        <w:rPr>
          <w:rFonts w:ascii="Book Antiqua" w:hAnsi="Book Antiqua" w:cs="Simplified Arabic"/>
          <w:sz w:val="16"/>
          <w:szCs w:val="16"/>
          <w:rtl/>
          <w:lang w:bidi="ar-MA"/>
        </w:rPr>
        <w:t xml:space="preserve"> معطيات شبه-نهائية                                                                                                                                                                                                                   </w:t>
      </w:r>
    </w:p>
    <w:p w:rsidR="00672120" w:rsidRDefault="00672120" w:rsidP="00672120">
      <w:pPr>
        <w:rPr>
          <w:noProof/>
          <w:lang w:bidi="ar-MA"/>
        </w:rPr>
      </w:pPr>
    </w:p>
    <w:p w:rsidR="00E779F7" w:rsidRDefault="00E779F7" w:rsidP="00E34968">
      <w:pPr>
        <w:rPr>
          <w:rtl/>
          <w:lang w:bidi="ar-MA"/>
        </w:rPr>
      </w:pPr>
    </w:p>
    <w:sectPr w:rsidR="00E779F7" w:rsidSect="005523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DB3" w:rsidRDefault="003C7DB3" w:rsidP="00FD2A5E">
      <w:pPr>
        <w:spacing w:after="0" w:line="240" w:lineRule="auto"/>
      </w:pPr>
      <w:r>
        <w:separator/>
      </w:r>
    </w:p>
  </w:endnote>
  <w:endnote w:type="continuationSeparator" w:id="1">
    <w:p w:rsidR="003C7DB3" w:rsidRDefault="003C7DB3" w:rsidP="00FD2A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DB3" w:rsidRDefault="003C7DB3" w:rsidP="00FD2A5E">
      <w:pPr>
        <w:spacing w:after="0" w:line="240" w:lineRule="auto"/>
      </w:pPr>
      <w:r>
        <w:separator/>
      </w:r>
    </w:p>
  </w:footnote>
  <w:footnote w:type="continuationSeparator" w:id="1">
    <w:p w:rsidR="003C7DB3" w:rsidRDefault="003C7DB3" w:rsidP="00FD2A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79F7"/>
    <w:rsid w:val="000665F7"/>
    <w:rsid w:val="00095B3C"/>
    <w:rsid w:val="000B0BBD"/>
    <w:rsid w:val="000B6807"/>
    <w:rsid w:val="000F745E"/>
    <w:rsid w:val="00101E96"/>
    <w:rsid w:val="00134718"/>
    <w:rsid w:val="00181E1C"/>
    <w:rsid w:val="00187DB1"/>
    <w:rsid w:val="001D2277"/>
    <w:rsid w:val="001D3A06"/>
    <w:rsid w:val="0027089E"/>
    <w:rsid w:val="00282058"/>
    <w:rsid w:val="003C7DB3"/>
    <w:rsid w:val="003E1F3A"/>
    <w:rsid w:val="00532E1B"/>
    <w:rsid w:val="00552317"/>
    <w:rsid w:val="00580813"/>
    <w:rsid w:val="005B783B"/>
    <w:rsid w:val="005C577C"/>
    <w:rsid w:val="005E4B0F"/>
    <w:rsid w:val="005F4576"/>
    <w:rsid w:val="005F61D2"/>
    <w:rsid w:val="0065279E"/>
    <w:rsid w:val="00672120"/>
    <w:rsid w:val="006D160C"/>
    <w:rsid w:val="007269D2"/>
    <w:rsid w:val="0074684E"/>
    <w:rsid w:val="00770F13"/>
    <w:rsid w:val="007841D0"/>
    <w:rsid w:val="00795BF8"/>
    <w:rsid w:val="007A4831"/>
    <w:rsid w:val="007D7E78"/>
    <w:rsid w:val="00825DAF"/>
    <w:rsid w:val="00890B77"/>
    <w:rsid w:val="00891C36"/>
    <w:rsid w:val="00926490"/>
    <w:rsid w:val="00980691"/>
    <w:rsid w:val="009A1EFF"/>
    <w:rsid w:val="009C3674"/>
    <w:rsid w:val="00A033D7"/>
    <w:rsid w:val="00A616E6"/>
    <w:rsid w:val="00AA0AA2"/>
    <w:rsid w:val="00AD097C"/>
    <w:rsid w:val="00BA79FE"/>
    <w:rsid w:val="00BD6D24"/>
    <w:rsid w:val="00C35705"/>
    <w:rsid w:val="00C4660B"/>
    <w:rsid w:val="00C94BC2"/>
    <w:rsid w:val="00CB2E8B"/>
    <w:rsid w:val="00CC2626"/>
    <w:rsid w:val="00CC79A6"/>
    <w:rsid w:val="00CF13A6"/>
    <w:rsid w:val="00D05CF9"/>
    <w:rsid w:val="00D13B81"/>
    <w:rsid w:val="00D15BFB"/>
    <w:rsid w:val="00D20A56"/>
    <w:rsid w:val="00D21DBD"/>
    <w:rsid w:val="00D23CA3"/>
    <w:rsid w:val="00D24754"/>
    <w:rsid w:val="00DE51C0"/>
    <w:rsid w:val="00E03687"/>
    <w:rsid w:val="00E34968"/>
    <w:rsid w:val="00E56BE4"/>
    <w:rsid w:val="00E745E4"/>
    <w:rsid w:val="00E779F7"/>
    <w:rsid w:val="00EA4376"/>
    <w:rsid w:val="00EF04A1"/>
    <w:rsid w:val="00EF247B"/>
    <w:rsid w:val="00F30256"/>
    <w:rsid w:val="00FD2A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76"/>
  </w:style>
  <w:style w:type="paragraph" w:styleId="Titre8">
    <w:name w:val="heading 8"/>
    <w:basedOn w:val="Normal"/>
    <w:next w:val="Normal"/>
    <w:link w:val="Titre8Car"/>
    <w:qFormat/>
    <w:rsid w:val="005E4B0F"/>
    <w:pPr>
      <w:spacing w:before="240" w:after="60" w:line="240" w:lineRule="auto"/>
      <w:outlineLvl w:val="7"/>
    </w:pPr>
    <w:rPr>
      <w:rFonts w:ascii="Times New Roman" w:eastAsia="Times New Roman" w:hAnsi="Times New Roman"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ps">
    <w:name w:val="hps"/>
    <w:basedOn w:val="Policepardfaut"/>
    <w:rsid w:val="007841D0"/>
  </w:style>
  <w:style w:type="paragraph" w:styleId="Paragraphedeliste">
    <w:name w:val="List Paragraph"/>
    <w:basedOn w:val="Normal"/>
    <w:uiPriority w:val="34"/>
    <w:qFormat/>
    <w:rsid w:val="00672120"/>
    <w:pPr>
      <w:spacing w:after="0" w:line="240" w:lineRule="auto"/>
      <w:ind w:left="720"/>
      <w:contextualSpacing/>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1D22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2277"/>
    <w:rPr>
      <w:rFonts w:ascii="Tahoma" w:hAnsi="Tahoma" w:cs="Tahoma"/>
      <w:sz w:val="16"/>
      <w:szCs w:val="16"/>
    </w:rPr>
  </w:style>
  <w:style w:type="table" w:styleId="Grilledutableau">
    <w:name w:val="Table Grid"/>
    <w:basedOn w:val="TableauNormal"/>
    <w:uiPriority w:val="59"/>
    <w:rsid w:val="005B7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FD2A5E"/>
    <w:pPr>
      <w:spacing w:after="0" w:line="240" w:lineRule="auto"/>
    </w:pPr>
    <w:rPr>
      <w:sz w:val="20"/>
      <w:szCs w:val="20"/>
    </w:rPr>
  </w:style>
  <w:style w:type="character" w:customStyle="1" w:styleId="NotedefinCar">
    <w:name w:val="Note de fin Car"/>
    <w:basedOn w:val="Policepardfaut"/>
    <w:link w:val="Notedefin"/>
    <w:uiPriority w:val="99"/>
    <w:semiHidden/>
    <w:rsid w:val="00FD2A5E"/>
    <w:rPr>
      <w:sz w:val="20"/>
      <w:szCs w:val="20"/>
    </w:rPr>
  </w:style>
  <w:style w:type="character" w:styleId="Appeldenotedefin">
    <w:name w:val="endnote reference"/>
    <w:basedOn w:val="Policepardfaut"/>
    <w:uiPriority w:val="99"/>
    <w:semiHidden/>
    <w:unhideWhenUsed/>
    <w:rsid w:val="00FD2A5E"/>
    <w:rPr>
      <w:vertAlign w:val="superscript"/>
    </w:rPr>
  </w:style>
  <w:style w:type="character" w:customStyle="1" w:styleId="Titre8Car">
    <w:name w:val="Titre 8 Car"/>
    <w:basedOn w:val="Policepardfaut"/>
    <w:link w:val="Titre8"/>
    <w:rsid w:val="005E4B0F"/>
    <w:rPr>
      <w:rFonts w:ascii="Times New Roman" w:eastAsia="Times New Roman" w:hAnsi="Times New Roman" w:cs="Times New Roman"/>
      <w:i/>
      <w:iCs/>
      <w:sz w:val="24"/>
      <w:szCs w:val="24"/>
    </w:rPr>
  </w:style>
  <w:style w:type="character" w:styleId="Emphaseintense">
    <w:name w:val="Intense Emphasis"/>
    <w:basedOn w:val="Policepardfaut"/>
    <w:uiPriority w:val="21"/>
    <w:qFormat/>
    <w:rsid w:val="005E4B0F"/>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hcp.ma/region-marrakec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y.ait%20khellou\Desktop\comptes%20r&#233;gionaux\CR2016\calcul%202016public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ait%20khellou\Desktop\comptes%20r&#233;gionaux\CR2016\calcul%202016public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roundedCorners val="1"/>
  <c:chart>
    <c:title>
      <c:tx>
        <c:rich>
          <a:bodyPr/>
          <a:lstStyle/>
          <a:p>
            <a:pPr>
              <a:defRPr/>
            </a:pPr>
            <a:r>
              <a:rPr lang="ar-MA" sz="1800" b="1" i="0" baseline="0"/>
              <a:t>مساهمة الجهات في نمو الناتج الداخلي الإجمالي الوطني(%)  </a:t>
            </a:r>
            <a:endParaRPr lang="fr-FR" sz="1800" b="1" i="0" baseline="0"/>
          </a:p>
        </c:rich>
      </c:tx>
    </c:title>
    <c:plotArea>
      <c:layout>
        <c:manualLayout>
          <c:layoutTarget val="inner"/>
          <c:xMode val="edge"/>
          <c:yMode val="edge"/>
          <c:x val="9.4387675371654767E-2"/>
          <c:y val="0.18604067492660006"/>
          <c:w val="0.68091490853719794"/>
          <c:h val="0.72017017589170151"/>
        </c:manualLayout>
      </c:layout>
      <c:barChart>
        <c:barDir val="col"/>
        <c:grouping val="clustered"/>
        <c:varyColors val="1"/>
        <c:ser>
          <c:idx val="0"/>
          <c:order val="0"/>
          <c:dLbls>
            <c:showVal val="1"/>
          </c:dLbls>
          <c:cat>
            <c:strRef>
              <c:f>Feuil6!$A$2:$A$13</c:f>
              <c:strCache>
                <c:ptCount val="12"/>
                <c:pt idx="0">
                  <c:v>طنجة-تطوان-الحسيمة</c:v>
                </c:pt>
                <c:pt idx="1">
                  <c:v>الشرق</c:v>
                </c:pt>
                <c:pt idx="2">
                  <c:v>فاس-مكناس</c:v>
                </c:pt>
                <c:pt idx="3">
                  <c:v>الرباط--سلا-قنيطرة</c:v>
                </c:pt>
                <c:pt idx="4">
                  <c:v>بني ملال - خنيفرة</c:v>
                </c:pt>
                <c:pt idx="5">
                  <c:v>الدار البيضاء-سطات</c:v>
                </c:pt>
                <c:pt idx="6">
                  <c:v>مراكش-اسفي</c:v>
                </c:pt>
                <c:pt idx="7">
                  <c:v>درعة - تافيلالت</c:v>
                </c:pt>
                <c:pt idx="8">
                  <c:v>سوس-ماسة</c:v>
                </c:pt>
                <c:pt idx="9">
                  <c:v>كلميم – واد نون</c:v>
                </c:pt>
                <c:pt idx="10">
                  <c:v>العيون – الساقية الحمراء</c:v>
                </c:pt>
                <c:pt idx="11">
                  <c:v>الداخلة-وادي الذهب</c:v>
                </c:pt>
              </c:strCache>
            </c:strRef>
          </c:cat>
          <c:val>
            <c:numRef>
              <c:f>Feuil6!$B$2:$B$13</c:f>
              <c:numCache>
                <c:formatCode>0.0</c:formatCode>
                <c:ptCount val="12"/>
                <c:pt idx="0">
                  <c:v>22.394037120335565</c:v>
                </c:pt>
                <c:pt idx="1">
                  <c:v>-0.94070829631391928</c:v>
                </c:pt>
                <c:pt idx="2">
                  <c:v>-0.36449315048850461</c:v>
                </c:pt>
                <c:pt idx="3">
                  <c:v>14.905685016272049</c:v>
                </c:pt>
                <c:pt idx="4">
                  <c:v>-11.631076001367232</c:v>
                </c:pt>
                <c:pt idx="5">
                  <c:v>34.128243407796944</c:v>
                </c:pt>
                <c:pt idx="6">
                  <c:v>-5.4246002966075659</c:v>
                </c:pt>
                <c:pt idx="7">
                  <c:v>9.6312644987980889</c:v>
                </c:pt>
                <c:pt idx="8">
                  <c:v>12.888420628959185</c:v>
                </c:pt>
                <c:pt idx="9">
                  <c:v>7.3854454118645521</c:v>
                </c:pt>
                <c:pt idx="10">
                  <c:v>9.6069936804394089</c:v>
                </c:pt>
                <c:pt idx="11">
                  <c:v>7.465766256553044</c:v>
                </c:pt>
              </c:numCache>
            </c:numRef>
          </c:val>
        </c:ser>
        <c:gapWidth val="100"/>
        <c:axId val="157373184"/>
        <c:axId val="167313408"/>
      </c:barChart>
      <c:catAx>
        <c:axId val="157373184"/>
        <c:scaling>
          <c:orientation val="minMax"/>
        </c:scaling>
        <c:delete val="1"/>
        <c:axPos val="b"/>
        <c:tickLblPos val="none"/>
        <c:crossAx val="167313408"/>
        <c:crosses val="autoZero"/>
        <c:auto val="1"/>
        <c:lblAlgn val="ctr"/>
        <c:lblOffset val="100"/>
      </c:catAx>
      <c:valAx>
        <c:axId val="167313408"/>
        <c:scaling>
          <c:orientation val="minMax"/>
        </c:scaling>
        <c:axPos val="l"/>
        <c:majorGridlines/>
        <c:numFmt formatCode="0.0" sourceLinked="1"/>
        <c:tickLblPos val="nextTo"/>
        <c:crossAx val="157373184"/>
        <c:crosses val="autoZero"/>
        <c:crossBetween val="between"/>
      </c:valAx>
    </c:plotArea>
    <c:legend>
      <c:legendPos val="r"/>
      <c:layout>
        <c:manualLayout>
          <c:xMode val="edge"/>
          <c:yMode val="edge"/>
          <c:x val="0.79313066879297855"/>
          <c:y val="0.20957077086675638"/>
          <c:w val="0.19342403402106545"/>
          <c:h val="0.67757989267735774"/>
        </c:manualLayout>
      </c:layout>
    </c:legend>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roundedCorners val="1"/>
  <c:chart>
    <c:title>
      <c:tx>
        <c:rich>
          <a:bodyPr/>
          <a:lstStyle/>
          <a:p>
            <a:pPr>
              <a:defRPr/>
            </a:pPr>
            <a:r>
              <a:rPr lang="ar-MA" sz="1400"/>
              <a:t>مساهمة</a:t>
            </a:r>
            <a:r>
              <a:rPr lang="ar-MA" sz="1400" baseline="0"/>
              <a:t> الجهات في نفقات الاستهلاك النهائي للأسر(%)  </a:t>
            </a:r>
            <a:endParaRPr lang="fr-FR" sz="1400"/>
          </a:p>
        </c:rich>
      </c:tx>
    </c:title>
    <c:plotArea>
      <c:layout>
        <c:manualLayout>
          <c:layoutTarget val="inner"/>
          <c:xMode val="edge"/>
          <c:yMode val="edge"/>
          <c:x val="9.4387675371654364E-2"/>
          <c:y val="0.17404563553502531"/>
          <c:w val="0.59338316709611583"/>
          <c:h val="0.71453540769844981"/>
        </c:manualLayout>
      </c:layout>
      <c:barChart>
        <c:barDir val="col"/>
        <c:grouping val="clustered"/>
        <c:varyColors val="1"/>
        <c:ser>
          <c:idx val="0"/>
          <c:order val="0"/>
          <c:dLbls>
            <c:showVal val="1"/>
          </c:dLbls>
          <c:cat>
            <c:strRef>
              <c:f>Feuil5!$A$2:$A$13</c:f>
              <c:strCache>
                <c:ptCount val="12"/>
                <c:pt idx="0">
                  <c:v>طنجة-تطوان-الحسيمة</c:v>
                </c:pt>
                <c:pt idx="1">
                  <c:v>الشرق</c:v>
                </c:pt>
                <c:pt idx="2">
                  <c:v>فاس-مكناس</c:v>
                </c:pt>
                <c:pt idx="3">
                  <c:v>الرباط--سلا-قنيطرة</c:v>
                </c:pt>
                <c:pt idx="4">
                  <c:v>بني ملال - خنيفرة</c:v>
                </c:pt>
                <c:pt idx="5">
                  <c:v>الدار البيضاء-سطات</c:v>
                </c:pt>
                <c:pt idx="6">
                  <c:v>مراكش-اسفي</c:v>
                </c:pt>
                <c:pt idx="7">
                  <c:v>درعة - تافيلالت</c:v>
                </c:pt>
                <c:pt idx="8">
                  <c:v>سوس-ماسة</c:v>
                </c:pt>
                <c:pt idx="9">
                  <c:v>كلميم – واد نون</c:v>
                </c:pt>
                <c:pt idx="10">
                  <c:v>العيون – الساقية الحمراء</c:v>
                </c:pt>
                <c:pt idx="11">
                  <c:v>الداخلة-وادي الذهب</c:v>
                </c:pt>
              </c:strCache>
            </c:strRef>
          </c:cat>
          <c:val>
            <c:numRef>
              <c:f>Feuil5!$B$2:$B$13</c:f>
              <c:numCache>
                <c:formatCode>0.0</c:formatCode>
                <c:ptCount val="12"/>
                <c:pt idx="0">
                  <c:v>11.445895568654414</c:v>
                </c:pt>
                <c:pt idx="1">
                  <c:v>7.0233911802727134</c:v>
                </c:pt>
                <c:pt idx="2">
                  <c:v>11.767498420203518</c:v>
                </c:pt>
                <c:pt idx="3">
                  <c:v>14.789749510391674</c:v>
                </c:pt>
                <c:pt idx="4">
                  <c:v>5.4083336328210834</c:v>
                </c:pt>
                <c:pt idx="5">
                  <c:v>24.93729162101285</c:v>
                </c:pt>
                <c:pt idx="6">
                  <c:v>11.193518401145321</c:v>
                </c:pt>
                <c:pt idx="7">
                  <c:v>3.3576914271989522</c:v>
                </c:pt>
                <c:pt idx="8">
                  <c:v>7.1169601729397165</c:v>
                </c:pt>
                <c:pt idx="9">
                  <c:v>1.1702322309199009</c:v>
                </c:pt>
                <c:pt idx="10">
                  <c:v>1.1578021780221412</c:v>
                </c:pt>
                <c:pt idx="11">
                  <c:v>0.63163565641796426</c:v>
                </c:pt>
              </c:numCache>
            </c:numRef>
          </c:val>
        </c:ser>
        <c:gapWidth val="100"/>
        <c:axId val="167462784"/>
        <c:axId val="167466112"/>
      </c:barChart>
      <c:catAx>
        <c:axId val="167462784"/>
        <c:scaling>
          <c:orientation val="minMax"/>
        </c:scaling>
        <c:delete val="1"/>
        <c:axPos val="b"/>
        <c:tickLblPos val="none"/>
        <c:crossAx val="167466112"/>
        <c:crosses val="autoZero"/>
        <c:auto val="1"/>
        <c:lblAlgn val="ctr"/>
        <c:lblOffset val="100"/>
      </c:catAx>
      <c:valAx>
        <c:axId val="167466112"/>
        <c:scaling>
          <c:orientation val="minMax"/>
        </c:scaling>
        <c:axPos val="l"/>
        <c:majorGridlines/>
        <c:numFmt formatCode="0.0" sourceLinked="1"/>
        <c:tickLblPos val="nextTo"/>
        <c:crossAx val="167462784"/>
        <c:crosses val="autoZero"/>
        <c:crossBetween val="between"/>
      </c:valAx>
    </c:plotArea>
    <c:legend>
      <c:legendPos val="r"/>
      <c:txPr>
        <a:bodyPr/>
        <a:lstStyle/>
        <a:p>
          <a:pPr rtl="0">
            <a:defRPr/>
          </a:pPr>
          <a:endParaRPr lang="fr-FR"/>
        </a:p>
      </c:txPr>
    </c:legend>
    <c:plotVisOnly val="1"/>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E0569-77EA-4FAB-AF52-BBA4D831E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7</Pages>
  <Words>1211</Words>
  <Characters>6664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37</cp:revision>
  <cp:lastPrinted>2018-10-16T09:46:00Z</cp:lastPrinted>
  <dcterms:created xsi:type="dcterms:W3CDTF">2018-10-12T09:47:00Z</dcterms:created>
  <dcterms:modified xsi:type="dcterms:W3CDTF">2018-10-17T10:26:00Z</dcterms:modified>
</cp:coreProperties>
</file>