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F8" w:rsidRDefault="006C52F7">
      <w:r w:rsidRPr="006C52F7">
        <w:rPr>
          <w:noProof/>
          <w:lang w:val="en-US" w:eastAsia="en-US"/>
        </w:rPr>
        <w:pict>
          <v:group id="Group 46" o:spid="_x0000_s1026" style="position:absolute;margin-left:-129.55pt;margin-top:-41.35pt;width:636.1pt;height:270.15pt;rotation:10841fd;flip:x;z-index:251670528" coordorigin="10562,10468" coordsize="8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">
            <v:shape id="Freeform 47" o:spid="_x0000_s1027" style="position:absolute;left:10568;top:10468;width:828;height:188;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" path="m4248000,2160000v-456000,-30000,-912000,-60000,-1368000,-360000c2424000,1500000,1992000,660000,1512000,360000,1032000,60000,252000,60000,,e" filled="f" strokecolor="#f79646 [3209]" strokeweight="15pt">
              <v:shadow color="#ccc"/>
              <v:path arrowok="t" o:connecttype="custom" o:connectlocs="16,2;11,1;6,0;0,0" o:connectangles="0,0,0,0"/>
            </v:shape>
            <v:shape id="Freeform 48" o:spid="_x0000_s1028" style="position:absolute;left:10705;top:10468;width:691;height:188;visibility:visible;mso-wrap-style:square;v-text-anchor:top" coordsize="5328000,19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" path="m1008000,144000l3168000,1512000r936000,360000l5328000,1944000,5328000,,,,1008000,144000xe" fillcolor="#f79646 [3209]" strokecolor="#f79646 [3209]" strokeweight=".5pt">
              <v:shadow color="#ccc"/>
              <v:path arrowok="t" o:connecttype="custom" o:connectlocs="2,0;5,1;7,2;9,2;9,0;0,0;2,0" o:connectangles="0,0,0,0,0,0,0"/>
            </v:shape>
            <v:shape id="Freeform 49" o:spid="_x0000_s1029" style="position:absolute;left:10562;top:10482;width:834;height:200;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" path="m4248000,2160000v-456000,-30000,-912000,-60000,-1368000,-360000c2424000,1500000,1992000,660000,1512000,360000,1032000,60000,252000,60000,,e" filled="f" strokecolor="#f79646 [3209]" strokeweight="4.5pt">
              <v:shadow color="#ccc"/>
              <v:path arrowok="t" o:connecttype="custom" o:connectlocs="16,2;11,2;6,0;0,0" o:connectangles="0,0,0,0"/>
            </v:shape>
            <v:shape id="Freeform 50" o:spid="_x0000_s1030" style="position:absolute;left:10570;top:10486;width:820;height:215;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" path="m4248000,2160000v-456000,-30000,-912000,-60000,-1368000,-360000c2424000,1500000,1992000,660000,1512000,360000,1032000,60000,252000,60000,,e" filled="f" strokecolor="#f79646 [3209]" strokeweight="3pt">
              <v:shadow color="#ccc"/>
              <v:path arrowok="t" o:connecttype="custom" o:connectlocs="16,2;11,2;6,0;0,0" o:connectangles="0,0,0,0"/>
            </v:shape>
            <v:shape id="Freeform 51" o:spid="_x0000_s1031" style="position:absolute;left:10572;top:10489;width:817;height:233;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" path="m4248000,2160000v-456000,-30000,-912000,-60000,-1368000,-360000c2424000,1500000,1992000,660000,1512000,360000,1032000,60000,252000,60000,,e" filled="f" strokecolor="#f79646 [3209]" strokeweight="3pt">
              <v:shadow color="#ccc"/>
              <v:path arrowok="t" o:connecttype="custom" o:connectlocs="16,3;11,2;6,0;0,0" o:connectangles="0,0,0,0"/>
            </v:shape>
            <v:shape id="Freeform 52" o:spid="_x0000_s1032" style="position:absolute;left:10574;top:10492;width:807;height:249;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" path="m4248000,2160000v-456000,-30000,-912000,-60000,-1368000,-360000c2424000,1500000,1992000,660000,1512000,360000,1032000,60000,252000,60000,,e" filled="f" strokecolor="#f79646 [3209]" strokeweight="2.25pt">
              <v:shadow color="#ccc"/>
              <v:path arrowok="t" o:connecttype="custom" o:connectlocs="15,3;10,2;5,0;0,0" o:connectangles="0,0,0,0"/>
            </v:shape>
            <v:shape id="Freeform 53" o:spid="_x0000_s1033" style="position:absolute;left:10576;top:10495;width:804;height:266;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" path="m4248000,2160000v-456000,-30000,-912000,-60000,-1368000,-360000c2424000,1500000,1992000,660000,1512000,360000,1032000,60000,252000,60000,,e" filled="f" strokecolor="#f79646 [3209]" strokeweight="2.25pt">
              <v:shadow color="#ccc"/>
              <v:path arrowok="t" o:connecttype="custom" o:connectlocs="15,3;10,3;5,1;0,0" o:connectangles="0,0,0,0"/>
            </v:shape>
            <v:shape id="Freeform 54" o:spid="_x0000_s1034" style="position:absolute;left:10568;top:10497;width:812;height:284;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" path="m4248000,2160000v-456000,-30000,-912000,-60000,-1368000,-360000c2424000,1500000,1992000,660000,1512000,360000,1032000,60000,252000,60000,,e" filled="f" strokecolor="#f79646 [3209]" strokeweight="1.5pt">
              <v:shadow color="#ccc"/>
              <v:path arrowok="t" o:connecttype="custom" o:connectlocs="16,4;11,3;6,1;0,0" o:connectangles="0,0,0,0"/>
            </v:shape>
            <v:shape id="Freeform 55" o:spid="_x0000_s1035" style="position:absolute;left:10568;top:10500;width:814;height:301;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" path="m4248000,2160000v-456000,-30000,-912000,-60000,-1368000,-360000c2424000,1500000,1992000,660000,1512000,360000,1032000,60000,252000,60000,,e" filled="f" strokecolor="#f79646 [3209]" strokeweight="1pt">
              <v:shadow color="#ccc"/>
              <v:path arrowok="t" o:connecttype="custom" o:connectlocs="16,4;11,3;6,1;0,0" o:connectangles="0,0,0,0"/>
            </v:shape>
            <v:shape id="Freeform 56" o:spid="_x0000_s1036" style="position:absolute;left:10572;top:10503;width:806;height:318;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" path="m4248000,2160000v-456000,-30000,-912000,-60000,-1368000,-360000c2424000,1500000,1992000,660000,1512000,360000,1032000,60000,252000,60000,,e" filled="f" strokecolor="#f79646 [3209]">
              <v:shadow color="#ccc"/>
              <v:path arrowok="t" o:connecttype="custom" o:connectlocs="15,5;10,4;5,1;0,0" o:connectangles="0,0,0,0"/>
            </v:shape>
          </v:group>
        </w:pict>
      </w:r>
    </w:p>
    <w:p w:rsidR="00C35891" w:rsidRDefault="006C52F7">
      <w:pPr>
        <w:rPr>
          <w:color w:val="E36C0A" w:themeColor="accent6" w:themeShade="BF"/>
          <w:sz w:val="26"/>
          <w:szCs w:val="26"/>
        </w:rPr>
      </w:pPr>
      <w:r w:rsidRPr="006C52F7">
        <w:rPr>
          <w:noProof/>
          <w:color w:val="E36C0A" w:themeColor="accent6" w:themeShade="BF"/>
          <w:sz w:val="26"/>
          <w:szCs w:val="26"/>
          <w:lang w:val="en-US"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48" type="#_x0000_t185" style="position:absolute;margin-left:20.95pt;margin-top:333.95pt;width:412.25pt;height:165.85pt;z-index:25167257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" o:allowincell="f" adj="1739" filled="t" fillcolor="#fabf8f [1945]" strokecolor="#e36c0a [2409]" strokeweight="1pt">
            <v:shadow on="t" color="#974706 [1609]" offset="1pt"/>
            <v:textbox inset="3.6pt,,3.6pt">
              <w:txbxContent>
                <w:p w:rsidR="005541AF" w:rsidRPr="00C32D89" w:rsidRDefault="005541AF" w:rsidP="00C32D89">
                  <w:pPr>
                    <w:pBdr>
                      <w:top w:val="single" w:sz="8" w:space="10" w:color="FFFFFF" w:themeColor="background1"/>
                      <w:bottom w:val="single" w:sz="8" w:space="10" w:color="FFFFFF" w:themeColor="background1"/>
                    </w:pBdr>
                    <w:spacing w:after="0" w:line="480" w:lineRule="auto"/>
                    <w:jc w:val="center"/>
                    <w:rPr>
                      <w:rFonts w:cstheme="minorHAnsi"/>
                      <w:b/>
                      <w:bCs/>
                      <w:i/>
                      <w:iCs/>
                      <w:color w:val="000000" w:themeColor="text1"/>
                      <w:sz w:val="36"/>
                      <w:szCs w:val="36"/>
                    </w:rPr>
                  </w:pPr>
                  <w:r w:rsidRPr="00C32D89">
                    <w:rPr>
                      <w:rFonts w:cstheme="minorHAnsi"/>
                      <w:b/>
                      <w:bCs/>
                      <w:i/>
                      <w:iCs/>
                      <w:color w:val="000000" w:themeColor="text1"/>
                      <w:sz w:val="36"/>
                      <w:szCs w:val="36"/>
                    </w:rPr>
                    <w:t>Indice des Prix à la Consommation (Base 100 : 2017)</w:t>
                  </w:r>
                </w:p>
                <w:p w:rsidR="005541AF" w:rsidRPr="00C32D89" w:rsidRDefault="005541AF" w:rsidP="00C32D89">
                  <w:pPr>
                    <w:pBdr>
                      <w:top w:val="single" w:sz="8" w:space="10" w:color="FFFFFF" w:themeColor="background1"/>
                      <w:bottom w:val="single" w:sz="8" w:space="10" w:color="FFFFFF" w:themeColor="background1"/>
                    </w:pBdr>
                    <w:spacing w:after="0" w:line="720" w:lineRule="auto"/>
                    <w:jc w:val="center"/>
                    <w:rPr>
                      <w:rFonts w:cstheme="minorHAnsi"/>
                      <w:b/>
                      <w:bCs/>
                      <w:i/>
                      <w:iCs/>
                      <w:color w:val="000000" w:themeColor="text1"/>
                      <w:sz w:val="36"/>
                      <w:szCs w:val="36"/>
                    </w:rPr>
                  </w:pPr>
                  <w:r w:rsidRPr="00C32D89">
                    <w:rPr>
                      <w:rFonts w:cstheme="minorHAnsi"/>
                      <w:b/>
                      <w:bCs/>
                      <w:i/>
                      <w:iCs/>
                      <w:color w:val="000000" w:themeColor="text1"/>
                      <w:sz w:val="36"/>
                      <w:szCs w:val="36"/>
                    </w:rPr>
                    <w:t>Ville de Rabat</w:t>
                  </w:r>
                </w:p>
                <w:p w:rsidR="005541AF" w:rsidRPr="00C32D89" w:rsidRDefault="005541AF" w:rsidP="00A72096">
                  <w:pPr>
                    <w:pBdr>
                      <w:top w:val="single" w:sz="8" w:space="10" w:color="FFFFFF" w:themeColor="background1"/>
                      <w:bottom w:val="single" w:sz="8" w:space="10" w:color="FFFFFF" w:themeColor="background1"/>
                    </w:pBdr>
                    <w:spacing w:after="0" w:line="480" w:lineRule="auto"/>
                    <w:jc w:val="right"/>
                    <w:rPr>
                      <w:rFonts w:cstheme="minorHAnsi"/>
                      <w:b/>
                      <w:bCs/>
                      <w:i/>
                      <w:iCs/>
                      <w:color w:val="000000" w:themeColor="text1"/>
                      <w:sz w:val="36"/>
                      <w:szCs w:val="36"/>
                    </w:rPr>
                  </w:pPr>
                  <w:r w:rsidRPr="00C32D89">
                    <w:rPr>
                      <w:rFonts w:cstheme="minorHAnsi"/>
                      <w:b/>
                      <w:bCs/>
                      <w:i/>
                      <w:iCs/>
                      <w:color w:val="000000" w:themeColor="text1"/>
                      <w:sz w:val="36"/>
                      <w:szCs w:val="36"/>
                    </w:rPr>
                    <w:t xml:space="preserve">Rapport </w:t>
                  </w:r>
                  <w:r>
                    <w:rPr>
                      <w:rFonts w:cstheme="minorHAnsi"/>
                      <w:b/>
                      <w:bCs/>
                      <w:i/>
                      <w:iCs/>
                      <w:color w:val="000000" w:themeColor="text1"/>
                      <w:sz w:val="36"/>
                      <w:szCs w:val="36"/>
                    </w:rPr>
                    <w:t>Annuel</w:t>
                  </w:r>
                  <w:r w:rsidRPr="00C32D89">
                    <w:rPr>
                      <w:rFonts w:cstheme="minorHAnsi"/>
                      <w:b/>
                      <w:bCs/>
                      <w:i/>
                      <w:iCs/>
                      <w:color w:val="000000" w:themeColor="text1"/>
                      <w:sz w:val="36"/>
                      <w:szCs w:val="36"/>
                    </w:rPr>
                    <w:t xml:space="preserve"> de l’année </w:t>
                  </w:r>
                  <w:r>
                    <w:rPr>
                      <w:rFonts w:cstheme="minorHAnsi"/>
                      <w:b/>
                      <w:bCs/>
                      <w:i/>
                      <w:iCs/>
                      <w:color w:val="000000" w:themeColor="text1"/>
                      <w:sz w:val="36"/>
                      <w:szCs w:val="36"/>
                    </w:rPr>
                    <w:t>2022</w:t>
                  </w:r>
                </w:p>
              </w:txbxContent>
            </v:textbox>
            <w10:wrap type="square" anchorx="margin" anchory="margin"/>
          </v:shape>
        </w:pict>
      </w:r>
      <w:r w:rsidRPr="006C52F7">
        <w:rPr>
          <w:noProof/>
          <w:color w:val="E36C0A" w:themeColor="accent6" w:themeShade="BF"/>
          <w:sz w:val="26"/>
          <w:szCs w:val="26"/>
          <w:lang w:val="en-US" w:eastAsia="en-US"/>
        </w:rPr>
        <w:pict>
          <v:shapetype id="_x0000_t202" coordsize="21600,21600" o:spt="202" path="m,l,21600r21600,l21600,xe">
            <v:stroke joinstyle="miter"/>
            <v:path gradientshapeok="t" o:connecttype="rect"/>
          </v:shapetype>
          <v:shape id="Text Box 13" o:spid="_x0000_s1047" type="#_x0000_t202" style="position:absolute;margin-left:275.4pt;margin-top:90.55pt;width:189.2pt;height:4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" stroked="f">
            <v:textbox>
              <w:txbxContent>
                <w:p w:rsidR="005541AF" w:rsidRDefault="005541AF" w:rsidP="00C35891">
                  <w:pPr>
                    <w:jc w:val="center"/>
                    <w:rPr>
                      <w:rFonts w:asciiTheme="majorBidi" w:hAnsiTheme="majorBidi" w:cstheme="majorBidi"/>
                      <w:b/>
                      <w:bCs/>
                      <w:smallCaps/>
                    </w:rPr>
                  </w:pPr>
                  <w:r w:rsidRPr="00C35891">
                    <w:rPr>
                      <w:rFonts w:asciiTheme="majorBidi" w:hAnsiTheme="majorBidi" w:cstheme="majorBidi"/>
                      <w:b/>
                      <w:bCs/>
                      <w:smallCaps/>
                    </w:rPr>
                    <w:t>Direction Régionale De rabat S</w:t>
                  </w:r>
                  <w:r w:rsidRPr="00C35891">
                    <w:rPr>
                      <w:rFonts w:asciiTheme="majorBidi" w:hAnsiTheme="majorBidi" w:cstheme="majorBidi"/>
                      <w:b/>
                      <w:bCs/>
                      <w:smallCaps/>
                      <w:sz w:val="20"/>
                      <w:szCs w:val="20"/>
                    </w:rPr>
                    <w:t>ALE</w:t>
                  </w:r>
                  <w:r w:rsidRPr="00C35891">
                    <w:rPr>
                      <w:rFonts w:asciiTheme="majorBidi" w:hAnsiTheme="majorBidi" w:cstheme="majorBidi"/>
                      <w:b/>
                      <w:bCs/>
                      <w:smallCaps/>
                    </w:rPr>
                    <w:t>Kénitra</w:t>
                  </w:r>
                </w:p>
                <w:p w:rsidR="005541AF" w:rsidRPr="00C35891" w:rsidRDefault="005541AF" w:rsidP="00C35891">
                  <w:pPr>
                    <w:jc w:val="center"/>
                    <w:rPr>
                      <w:rFonts w:asciiTheme="majorBidi" w:hAnsiTheme="majorBidi" w:cstheme="majorBidi"/>
                      <w:b/>
                      <w:bCs/>
                      <w:smallCaps/>
                    </w:rPr>
                  </w:pPr>
                </w:p>
              </w:txbxContent>
            </v:textbox>
          </v:shape>
        </w:pict>
      </w:r>
      <w:r w:rsidR="00A10A64">
        <w:rPr>
          <w:noProof/>
          <w:color w:val="E36C0A" w:themeColor="accent6" w:themeShade="BF"/>
          <w:sz w:val="26"/>
          <w:szCs w:val="26"/>
        </w:rPr>
        <w:drawing>
          <wp:anchor distT="0" distB="0" distL="114300" distR="114300" simplePos="0" relativeHeight="251662336" behindDoc="1" locked="0" layoutInCell="1" allowOverlap="1">
            <wp:simplePos x="0" y="0"/>
            <wp:positionH relativeFrom="column">
              <wp:posOffset>3671570</wp:posOffset>
            </wp:positionH>
            <wp:positionV relativeFrom="paragraph">
              <wp:posOffset>387350</wp:posOffset>
            </wp:positionV>
            <wp:extent cx="1762125" cy="752475"/>
            <wp:effectExtent l="19050" t="0" r="9525"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10">
                              <a14:imgEffect>
                                <a14:saturation sat="135000"/>
                              </a14:imgEffect>
                            </a14:imgLayer>
                          </a14:imgProps>
                        </a:ext>
                      </a:extLst>
                    </a:blip>
                    <a:srcRect/>
                    <a:stretch>
                      <a:fillRect/>
                    </a:stretch>
                  </pic:blipFill>
                  <pic:spPr bwMode="auto">
                    <a:xfrm>
                      <a:off x="0" y="0"/>
                      <a:ext cx="1762125" cy="752475"/>
                    </a:xfrm>
                    <a:prstGeom prst="rect">
                      <a:avLst/>
                    </a:prstGeom>
                    <a:noFill/>
                    <a:ln w="9525">
                      <a:noFill/>
                      <a:miter lim="800000"/>
                      <a:headEnd/>
                      <a:tailEnd/>
                    </a:ln>
                  </pic:spPr>
                </pic:pic>
              </a:graphicData>
            </a:graphic>
          </wp:anchor>
        </w:drawing>
      </w:r>
      <w:r w:rsidRPr="006C52F7">
        <w:rPr>
          <w:noProof/>
          <w:color w:val="E36C0A" w:themeColor="accent6" w:themeShade="BF"/>
          <w:sz w:val="26"/>
          <w:szCs w:val="26"/>
          <w:lang w:val="en-US" w:eastAsia="en-US"/>
        </w:rPr>
        <w:pict>
          <v:shape id="Text Box 14" o:spid="_x0000_s1046" type="#_x0000_t202" style="position:absolute;margin-left:308.9pt;margin-top:2pt;width:128.4pt;height:2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x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" stroked="f">
            <v:textbox>
              <w:txbxContent>
                <w:p w:rsidR="005541AF" w:rsidRPr="00A10A64" w:rsidRDefault="005541AF" w:rsidP="00C35891">
                  <w:pPr>
                    <w:jc w:val="center"/>
                    <w:rPr>
                      <w:rFonts w:asciiTheme="majorBidi" w:hAnsiTheme="majorBidi" w:cstheme="majorBidi"/>
                      <w:caps/>
                      <w:sz w:val="20"/>
                      <w:szCs w:val="20"/>
                    </w:rPr>
                  </w:pPr>
                  <w:r w:rsidRPr="00A10A64">
                    <w:rPr>
                      <w:rFonts w:asciiTheme="majorBidi" w:hAnsiTheme="majorBidi" w:cstheme="majorBidi"/>
                      <w:b/>
                      <w:bCs/>
                      <w:caps/>
                      <w:sz w:val="20"/>
                      <w:szCs w:val="20"/>
                      <w:lang w:bidi="ar-MA"/>
                    </w:rPr>
                    <w:t>ROYAUME DU MAROC</w:t>
                  </w:r>
                </w:p>
              </w:txbxContent>
            </v:textbox>
          </v:shape>
        </w:pict>
      </w:r>
      <w:r w:rsidRPr="006C52F7">
        <w:rPr>
          <w:noProof/>
          <w:color w:val="E36C0A" w:themeColor="accent6" w:themeShade="BF"/>
          <w:sz w:val="26"/>
          <w:szCs w:val="26"/>
          <w:lang w:val="en-US" w:eastAsia="en-US"/>
        </w:rPr>
        <w:pict>
          <v:group id="Group 60" o:spid="_x0000_s1037" style="position:absolute;margin-left:-47.15pt;margin-top:556.6pt;width:571.55pt;height:239.35pt;rotation:180;flip:x;z-index:251664384;mso-position-horizontal-relative:text;mso-position-vertical-relative:text" coordorigin="10649,11062" coordsize="83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">
            <v:shape id="Freeform 61" o:spid="_x0000_s1045" style="position:absolute;left:10649;top:11062;width:833;height:200;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" path="m4248000,2160000v-456000,-30000,-912000,-60000,-1368000,-360000c2424000,1500000,1992000,660000,1512000,360000,1032000,60000,252000,60000,,e" filled="f" strokecolor="#f79646 [3209]" strokeweight="1pt">
              <v:shadow color="#ccc"/>
              <v:path arrowok="t" o:connecttype="custom" o:connectlocs="16,2;11,2;6,0;0,0" o:connectangles="0,0,0,0"/>
            </v:shape>
            <v:shape id="Freeform 62" o:spid="_x0000_s1044" style="position:absolute;left:10657;top:11065;width:820;height:215;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" path="m4248000,2160000v-456000,-30000,-912000,-60000,-1368000,-360000c2424000,1500000,1992000,660000,1512000,360000,1032000,60000,252000,60000,,e" filled="f" strokecolor="#f79646 [3209]" strokeweight=".5pt">
              <v:shadow color="#ccc"/>
              <v:path arrowok="t" o:connecttype="custom" o:connectlocs="16,2;11,2;6,0;0,0" o:connectangles="0,0,0,0"/>
            </v:shape>
            <v:shape id="Freeform 63" o:spid="_x0000_s1043" style="position:absolute;left:10659;top:11068;width:816;height:234;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" path="m4248000,2160000v-456000,-30000,-912000,-60000,-1368000,-360000c2424000,1500000,1992000,660000,1512000,360000,1032000,60000,252000,60000,,e" filled="f" strokecolor="#f79646 [3209]" strokeweight="1pt">
              <v:shadow color="#ccc"/>
              <v:path arrowok="t" o:connecttype="custom" o:connectlocs="16,3;11,2;6,0;0,0" o:connectangles="0,0,0,0"/>
            </v:shape>
            <v:shape id="Freeform 64" o:spid="_x0000_s1042" style="position:absolute;left:10661;top:11071;width:807;height:249;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" path="m4248000,2160000v-456000,-30000,-912000,-60000,-1368000,-360000c2424000,1500000,1992000,660000,1512000,360000,1032000,60000,252000,60000,,e" filled="f" strokecolor="#f79646 [3209]" strokeweight="1pt">
              <v:shadow color="#ccc"/>
              <v:path arrowok="t" o:connecttype="custom" o:connectlocs="15,3;10,2;5,0;0,0" o:connectangles="0,0,0,0"/>
            </v:shape>
            <v:shape id="Freeform 65" o:spid="_x0000_s1041" style="position:absolute;left:10662;top:11075;width:804;height:266;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" path="m4248000,2160000v-456000,-30000,-912000,-60000,-1368000,-360000c2424000,1500000,1992000,660000,1512000,360000,1032000,60000,252000,60000,,e" filled="f" strokecolor="#f79646 [3209]" strokeweight="1pt">
              <v:shadow color="#ccc"/>
              <v:path arrowok="t" o:connecttype="custom" o:connectlocs="15,3;10,3;5,1;0,0" o:connectangles="0,0,0,0"/>
            </v:shape>
            <v:shape id="Freeform 66" o:spid="_x0000_s1040" style="position:absolute;left:10655;top:11076;width:812;height:285;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" path="m4248000,2160000v-456000,-30000,-912000,-60000,-1368000,-360000c2424000,1500000,1992000,660000,1512000,360000,1032000,60000,252000,60000,,e" filled="f" strokecolor="#f79646 [3209]" strokeweight=".5pt">
              <v:shadow color="#ccc"/>
              <v:path arrowok="t" o:connecttype="custom" o:connectlocs="16,4;11,3;6,1;0,0" o:connectangles="0,0,0,0"/>
            </v:shape>
            <v:shape id="Freeform 67" o:spid="_x0000_s1039" style="position:absolute;left:10655;top:11079;width:814;height:302;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" path="m4248000,2160000v-456000,-30000,-912000,-60000,-1368000,-360000c2424000,1500000,1992000,660000,1512000,360000,1032000,60000,252000,60000,,e" filled="f" strokecolor="#f79646 [3209]" strokeweight="1pt">
              <v:shadow color="#ccc"/>
              <v:path arrowok="t" o:connecttype="custom" o:connectlocs="16,4;11,4;6,1;0,0" o:connectangles="0,0,0,0"/>
            </v:shape>
            <v:shape id="Freeform 68" o:spid="_x0000_s1038" style="position:absolute;left:10658;top:11083;width:807;height:318;visibility:visible;mso-wrap-style:square;v-text-anchor:top" coordsize="4248000,2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" path="m4248000,2160000v-456000,-30000,-912000,-60000,-1368000,-360000c2424000,1500000,1992000,660000,1512000,360000,1032000,60000,252000,60000,,e" filled="f" strokecolor="#f79646 [3209]" strokeweight="1pt">
              <v:shadow color="#ccc"/>
              <v:path arrowok="t" o:connecttype="custom" o:connectlocs="15,5;10,4;5,1;0,0" o:connectangles="0,0,0,0"/>
            </v:shape>
          </v:group>
        </w:pict>
      </w:r>
      <w:r w:rsidR="00C35891">
        <w:rPr>
          <w:color w:val="E36C0A" w:themeColor="accent6" w:themeShade="BF"/>
          <w:sz w:val="26"/>
          <w:szCs w:val="26"/>
        </w:rPr>
        <w:br w:type="page"/>
      </w:r>
    </w:p>
    <w:p w:rsidR="00C32D89" w:rsidRDefault="00C32D89">
      <w:pPr>
        <w:rPr>
          <w:rFonts w:eastAsiaTheme="majorEastAsia" w:cstheme="majorBidi"/>
          <w:b/>
          <w:bCs/>
          <w:color w:val="E36C0A" w:themeColor="accent6" w:themeShade="BF"/>
          <w:sz w:val="26"/>
          <w:szCs w:val="26"/>
        </w:rPr>
      </w:pPr>
    </w:p>
    <w:sdt>
      <w:sdtPr>
        <w:id w:val="-1734651976"/>
        <w:docPartObj>
          <w:docPartGallery w:val="Cover Pages"/>
          <w:docPartUnique/>
        </w:docPartObj>
      </w:sdtPr>
      <w:sdtEndPr>
        <w:rPr>
          <w:color w:val="E36C0A" w:themeColor="accent6" w:themeShade="BF"/>
          <w:sz w:val="26"/>
          <w:szCs w:val="26"/>
        </w:rPr>
      </w:sdtEndPr>
      <w:sdtContent>
        <w:p w:rsidR="00C35891" w:rsidRDefault="00C35891"/>
        <w:p w:rsidR="00C35891" w:rsidRDefault="00C35891"/>
        <w:p w:rsidR="00C35891" w:rsidRDefault="00C35891">
          <w:pPr>
            <w:rPr>
              <w:rFonts w:eastAsiaTheme="majorEastAsia" w:cstheme="majorBidi"/>
              <w:b/>
              <w:bCs/>
              <w:color w:val="E36C0A" w:themeColor="accent6" w:themeShade="BF"/>
              <w:sz w:val="26"/>
              <w:szCs w:val="26"/>
            </w:rPr>
          </w:pPr>
          <w:r>
            <w:rPr>
              <w:color w:val="E36C0A" w:themeColor="accent6" w:themeShade="BF"/>
              <w:sz w:val="26"/>
              <w:szCs w:val="26"/>
            </w:rPr>
            <w:br w:type="page"/>
          </w:r>
        </w:p>
      </w:sdtContent>
    </w:sdt>
    <w:sdt>
      <w:sdtPr>
        <w:rPr>
          <w:rFonts w:asciiTheme="minorHAnsi" w:eastAsiaTheme="minorHAnsi" w:hAnsiTheme="minorHAnsi" w:cstheme="minorBidi"/>
          <w:b w:val="0"/>
          <w:bCs w:val="0"/>
          <w:color w:val="auto"/>
          <w:sz w:val="22"/>
          <w:szCs w:val="22"/>
        </w:rPr>
        <w:id w:val="1569297"/>
        <w:docPartObj>
          <w:docPartGallery w:val="Table of Contents"/>
          <w:docPartUnique/>
        </w:docPartObj>
      </w:sdtPr>
      <w:sdtEndPr>
        <w:rPr>
          <w:rFonts w:eastAsiaTheme="minorEastAsia"/>
          <w:b/>
          <w:bCs/>
        </w:rPr>
      </w:sdtEndPr>
      <w:sdtContent>
        <w:p w:rsidR="00832702" w:rsidRPr="003A58A6" w:rsidRDefault="00832702" w:rsidP="000F3D7A">
          <w:pPr>
            <w:pStyle w:val="En-ttedetabledesmatires"/>
            <w:jc w:val="center"/>
            <w:rPr>
              <w:rFonts w:asciiTheme="minorHAnsi" w:hAnsiTheme="minorHAnsi"/>
              <w:color w:val="E36C0A" w:themeColor="accent6" w:themeShade="BF"/>
            </w:rPr>
          </w:pPr>
          <w:r w:rsidRPr="001819B6">
            <w:rPr>
              <w:rFonts w:ascii="Comic Sans MS" w:hAnsi="Comic Sans MS"/>
              <w:color w:val="E36C0A" w:themeColor="accent6" w:themeShade="BF"/>
              <w:lang w:eastAsia="en-US"/>
            </w:rPr>
            <w:t>S</w:t>
          </w:r>
          <w:r w:rsidR="00132051" w:rsidRPr="001819B6">
            <w:rPr>
              <w:rFonts w:ascii="Comic Sans MS" w:hAnsi="Comic Sans MS"/>
              <w:color w:val="E36C0A" w:themeColor="accent6" w:themeShade="BF"/>
              <w:lang w:eastAsia="en-US"/>
            </w:rPr>
            <w:t>OMMAIRE</w:t>
          </w:r>
        </w:p>
        <w:p w:rsidR="00B94824" w:rsidRPr="003A58A6" w:rsidRDefault="00B94824" w:rsidP="00576E09">
          <w:pPr>
            <w:tabs>
              <w:tab w:val="left" w:pos="1418"/>
            </w:tabs>
          </w:pPr>
        </w:p>
        <w:p w:rsidR="00611E2B" w:rsidRDefault="006C52F7">
          <w:pPr>
            <w:pStyle w:val="TM1"/>
            <w:tabs>
              <w:tab w:val="left" w:pos="440"/>
              <w:tab w:val="right" w:leader="dot" w:pos="9913"/>
            </w:tabs>
            <w:rPr>
              <w:noProof/>
              <w:lang w:val="en-US" w:eastAsia="en-US"/>
            </w:rPr>
          </w:pPr>
          <w:r w:rsidRPr="003A58A6">
            <w:fldChar w:fldCharType="begin"/>
          </w:r>
          <w:r w:rsidR="00FC4512" w:rsidRPr="003A58A6">
            <w:instrText xml:space="preserve"> TOC \o "1-4" \h \z \u </w:instrText>
          </w:r>
          <w:r w:rsidRPr="003A58A6">
            <w:fldChar w:fldCharType="separate"/>
          </w:r>
          <w:hyperlink w:anchor="_Toc183085607" w:history="1">
            <w:r w:rsidR="00611E2B" w:rsidRPr="002D7851">
              <w:rPr>
                <w:rStyle w:val="Lienhypertexte"/>
                <w:noProof/>
              </w:rPr>
              <w:t>I.</w:t>
            </w:r>
            <w:r w:rsidR="00611E2B">
              <w:rPr>
                <w:noProof/>
                <w:lang w:val="en-US" w:eastAsia="en-US"/>
              </w:rPr>
              <w:tab/>
            </w:r>
            <w:r w:rsidR="00611E2B" w:rsidRPr="002D7851">
              <w:rPr>
                <w:rStyle w:val="Lienhypertexte"/>
                <w:noProof/>
              </w:rPr>
              <w:t>Introduction</w:t>
            </w:r>
            <w:r w:rsidR="00611E2B">
              <w:rPr>
                <w:noProof/>
                <w:webHidden/>
              </w:rPr>
              <w:tab/>
            </w:r>
            <w:r>
              <w:rPr>
                <w:noProof/>
                <w:webHidden/>
              </w:rPr>
              <w:fldChar w:fldCharType="begin"/>
            </w:r>
            <w:r w:rsidR="00611E2B">
              <w:rPr>
                <w:noProof/>
                <w:webHidden/>
              </w:rPr>
              <w:instrText xml:space="preserve"> PAGEREF _Toc183085607 \h </w:instrText>
            </w:r>
            <w:r>
              <w:rPr>
                <w:noProof/>
                <w:webHidden/>
              </w:rPr>
            </w:r>
            <w:r>
              <w:rPr>
                <w:noProof/>
                <w:webHidden/>
              </w:rPr>
              <w:fldChar w:fldCharType="separate"/>
            </w:r>
            <w:r w:rsidR="00611E2B">
              <w:rPr>
                <w:noProof/>
                <w:webHidden/>
              </w:rPr>
              <w:t>4</w:t>
            </w:r>
            <w:r>
              <w:rPr>
                <w:noProof/>
                <w:webHidden/>
              </w:rPr>
              <w:fldChar w:fldCharType="end"/>
            </w:r>
          </w:hyperlink>
        </w:p>
        <w:p w:rsidR="00611E2B" w:rsidRDefault="006C52F7">
          <w:pPr>
            <w:pStyle w:val="TM1"/>
            <w:tabs>
              <w:tab w:val="left" w:pos="440"/>
              <w:tab w:val="right" w:leader="dot" w:pos="9913"/>
            </w:tabs>
            <w:rPr>
              <w:noProof/>
              <w:lang w:val="en-US" w:eastAsia="en-US"/>
            </w:rPr>
          </w:pPr>
          <w:hyperlink w:anchor="_Toc183085608" w:history="1">
            <w:r w:rsidR="00611E2B" w:rsidRPr="002D7851">
              <w:rPr>
                <w:rStyle w:val="Lienhypertexte"/>
                <w:noProof/>
              </w:rPr>
              <w:t>II.</w:t>
            </w:r>
            <w:r w:rsidR="00611E2B">
              <w:rPr>
                <w:noProof/>
                <w:lang w:val="en-US" w:eastAsia="en-US"/>
              </w:rPr>
              <w:tab/>
            </w:r>
            <w:r w:rsidR="00611E2B" w:rsidRPr="002D7851">
              <w:rPr>
                <w:rStyle w:val="Lienhypertexte"/>
                <w:noProof/>
              </w:rPr>
              <w:t>Réforme de l’IPC</w:t>
            </w:r>
            <w:r w:rsidR="00611E2B">
              <w:rPr>
                <w:noProof/>
                <w:webHidden/>
              </w:rPr>
              <w:tab/>
            </w:r>
            <w:r>
              <w:rPr>
                <w:noProof/>
                <w:webHidden/>
              </w:rPr>
              <w:fldChar w:fldCharType="begin"/>
            </w:r>
            <w:r w:rsidR="00611E2B">
              <w:rPr>
                <w:noProof/>
                <w:webHidden/>
              </w:rPr>
              <w:instrText xml:space="preserve"> PAGEREF _Toc183085608 \h </w:instrText>
            </w:r>
            <w:r>
              <w:rPr>
                <w:noProof/>
                <w:webHidden/>
              </w:rPr>
            </w:r>
            <w:r>
              <w:rPr>
                <w:noProof/>
                <w:webHidden/>
              </w:rPr>
              <w:fldChar w:fldCharType="separate"/>
            </w:r>
            <w:r w:rsidR="00611E2B">
              <w:rPr>
                <w:noProof/>
                <w:webHidden/>
              </w:rPr>
              <w:t>5</w:t>
            </w:r>
            <w:r>
              <w:rPr>
                <w:noProof/>
                <w:webHidden/>
              </w:rPr>
              <w:fldChar w:fldCharType="end"/>
            </w:r>
          </w:hyperlink>
        </w:p>
        <w:p w:rsidR="00611E2B" w:rsidRDefault="006C52F7">
          <w:pPr>
            <w:pStyle w:val="TM1"/>
            <w:tabs>
              <w:tab w:val="left" w:pos="660"/>
              <w:tab w:val="right" w:leader="dot" w:pos="9913"/>
            </w:tabs>
            <w:rPr>
              <w:noProof/>
              <w:lang w:val="en-US" w:eastAsia="en-US"/>
            </w:rPr>
          </w:pPr>
          <w:hyperlink w:anchor="_Toc183085609" w:history="1">
            <w:r w:rsidR="00611E2B" w:rsidRPr="002D7851">
              <w:rPr>
                <w:rStyle w:val="Lienhypertexte"/>
                <w:noProof/>
              </w:rPr>
              <w:t>III.</w:t>
            </w:r>
            <w:r w:rsidR="00611E2B">
              <w:rPr>
                <w:noProof/>
                <w:lang w:val="en-US" w:eastAsia="en-US"/>
              </w:rPr>
              <w:tab/>
            </w:r>
            <w:r w:rsidR="00611E2B" w:rsidRPr="002D7851">
              <w:rPr>
                <w:rStyle w:val="Lienhypertexte"/>
                <w:noProof/>
              </w:rPr>
              <w:t>Définition et objectifs de l’IPC</w:t>
            </w:r>
            <w:r w:rsidR="00611E2B">
              <w:rPr>
                <w:noProof/>
                <w:webHidden/>
              </w:rPr>
              <w:tab/>
            </w:r>
            <w:r>
              <w:rPr>
                <w:noProof/>
                <w:webHidden/>
              </w:rPr>
              <w:fldChar w:fldCharType="begin"/>
            </w:r>
            <w:r w:rsidR="00611E2B">
              <w:rPr>
                <w:noProof/>
                <w:webHidden/>
              </w:rPr>
              <w:instrText xml:space="preserve"> PAGEREF _Toc183085609 \h </w:instrText>
            </w:r>
            <w:r>
              <w:rPr>
                <w:noProof/>
                <w:webHidden/>
              </w:rPr>
            </w:r>
            <w:r>
              <w:rPr>
                <w:noProof/>
                <w:webHidden/>
              </w:rPr>
              <w:fldChar w:fldCharType="separate"/>
            </w:r>
            <w:r w:rsidR="00611E2B">
              <w:rPr>
                <w:noProof/>
                <w:webHidden/>
              </w:rPr>
              <w:t>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0" w:history="1">
            <w:r w:rsidR="00611E2B" w:rsidRPr="002D7851">
              <w:rPr>
                <w:rStyle w:val="Lienhypertexte"/>
                <w:noProof/>
              </w:rPr>
              <w:t>A.</w:t>
            </w:r>
            <w:r w:rsidR="00611E2B">
              <w:rPr>
                <w:noProof/>
                <w:lang w:val="en-US" w:eastAsia="en-US"/>
              </w:rPr>
              <w:tab/>
            </w:r>
            <w:r w:rsidR="00611E2B" w:rsidRPr="002D7851">
              <w:rPr>
                <w:rStyle w:val="Lienhypertexte"/>
                <w:noProof/>
              </w:rPr>
              <w:t>Définition</w:t>
            </w:r>
            <w:r w:rsidR="00611E2B">
              <w:rPr>
                <w:noProof/>
                <w:webHidden/>
              </w:rPr>
              <w:tab/>
            </w:r>
            <w:r>
              <w:rPr>
                <w:noProof/>
                <w:webHidden/>
              </w:rPr>
              <w:fldChar w:fldCharType="begin"/>
            </w:r>
            <w:r w:rsidR="00611E2B">
              <w:rPr>
                <w:noProof/>
                <w:webHidden/>
              </w:rPr>
              <w:instrText xml:space="preserve"> PAGEREF _Toc183085610 \h </w:instrText>
            </w:r>
            <w:r>
              <w:rPr>
                <w:noProof/>
                <w:webHidden/>
              </w:rPr>
            </w:r>
            <w:r>
              <w:rPr>
                <w:noProof/>
                <w:webHidden/>
              </w:rPr>
              <w:fldChar w:fldCharType="separate"/>
            </w:r>
            <w:r w:rsidR="00611E2B">
              <w:rPr>
                <w:noProof/>
                <w:webHidden/>
              </w:rPr>
              <w:t>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1" w:history="1">
            <w:r w:rsidR="00611E2B" w:rsidRPr="002D7851">
              <w:rPr>
                <w:rStyle w:val="Lienhypertexte"/>
                <w:noProof/>
              </w:rPr>
              <w:t>B.</w:t>
            </w:r>
            <w:r w:rsidR="00611E2B">
              <w:rPr>
                <w:noProof/>
                <w:lang w:val="en-US" w:eastAsia="en-US"/>
              </w:rPr>
              <w:tab/>
            </w:r>
            <w:r w:rsidR="00611E2B" w:rsidRPr="002D7851">
              <w:rPr>
                <w:rStyle w:val="Lienhypertexte"/>
                <w:noProof/>
              </w:rPr>
              <w:t>Objectifs</w:t>
            </w:r>
            <w:r w:rsidR="00611E2B">
              <w:rPr>
                <w:noProof/>
                <w:webHidden/>
              </w:rPr>
              <w:tab/>
            </w:r>
            <w:r>
              <w:rPr>
                <w:noProof/>
                <w:webHidden/>
              </w:rPr>
              <w:fldChar w:fldCharType="begin"/>
            </w:r>
            <w:r w:rsidR="00611E2B">
              <w:rPr>
                <w:noProof/>
                <w:webHidden/>
              </w:rPr>
              <w:instrText xml:space="preserve"> PAGEREF _Toc183085611 \h </w:instrText>
            </w:r>
            <w:r>
              <w:rPr>
                <w:noProof/>
                <w:webHidden/>
              </w:rPr>
            </w:r>
            <w:r>
              <w:rPr>
                <w:noProof/>
                <w:webHidden/>
              </w:rPr>
              <w:fldChar w:fldCharType="separate"/>
            </w:r>
            <w:r w:rsidR="00611E2B">
              <w:rPr>
                <w:noProof/>
                <w:webHidden/>
              </w:rPr>
              <w:t>5</w:t>
            </w:r>
            <w:r>
              <w:rPr>
                <w:noProof/>
                <w:webHidden/>
              </w:rPr>
              <w:fldChar w:fldCharType="end"/>
            </w:r>
          </w:hyperlink>
        </w:p>
        <w:p w:rsidR="00611E2B" w:rsidRDefault="006C52F7">
          <w:pPr>
            <w:pStyle w:val="TM1"/>
            <w:tabs>
              <w:tab w:val="left" w:pos="660"/>
              <w:tab w:val="right" w:leader="dot" w:pos="9913"/>
            </w:tabs>
            <w:rPr>
              <w:noProof/>
              <w:lang w:val="en-US" w:eastAsia="en-US"/>
            </w:rPr>
          </w:pPr>
          <w:hyperlink w:anchor="_Toc183085612" w:history="1">
            <w:r w:rsidR="00611E2B" w:rsidRPr="002D7851">
              <w:rPr>
                <w:rStyle w:val="Lienhypertexte"/>
                <w:noProof/>
              </w:rPr>
              <w:t>IV.</w:t>
            </w:r>
            <w:r w:rsidR="00611E2B">
              <w:rPr>
                <w:noProof/>
                <w:lang w:val="en-US" w:eastAsia="en-US"/>
              </w:rPr>
              <w:tab/>
            </w:r>
            <w:r w:rsidR="00611E2B" w:rsidRPr="002D7851">
              <w:rPr>
                <w:rStyle w:val="Lienhypertexte"/>
                <w:noProof/>
              </w:rPr>
              <w:t>Evolution de l’IPC durant l’année 2022</w:t>
            </w:r>
            <w:r w:rsidR="00611E2B">
              <w:rPr>
                <w:noProof/>
                <w:webHidden/>
              </w:rPr>
              <w:tab/>
            </w:r>
            <w:r>
              <w:rPr>
                <w:noProof/>
                <w:webHidden/>
              </w:rPr>
              <w:fldChar w:fldCharType="begin"/>
            </w:r>
            <w:r w:rsidR="00611E2B">
              <w:rPr>
                <w:noProof/>
                <w:webHidden/>
              </w:rPr>
              <w:instrText xml:space="preserve"> PAGEREF _Toc183085612 \h </w:instrText>
            </w:r>
            <w:r>
              <w:rPr>
                <w:noProof/>
                <w:webHidden/>
              </w:rPr>
            </w:r>
            <w:r>
              <w:rPr>
                <w:noProof/>
                <w:webHidden/>
              </w:rPr>
              <w:fldChar w:fldCharType="separate"/>
            </w:r>
            <w:r w:rsidR="00611E2B">
              <w:rPr>
                <w:noProof/>
                <w:webHidden/>
              </w:rPr>
              <w:t>6</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3" w:history="1">
            <w:r w:rsidR="00611E2B" w:rsidRPr="002D7851">
              <w:rPr>
                <w:rStyle w:val="Lienhypertexte"/>
                <w:noProof/>
              </w:rPr>
              <w:t>A.</w:t>
            </w:r>
            <w:r w:rsidR="00611E2B">
              <w:rPr>
                <w:noProof/>
                <w:lang w:val="en-US" w:eastAsia="en-US"/>
              </w:rPr>
              <w:tab/>
            </w:r>
            <w:r w:rsidR="00611E2B" w:rsidRPr="002D7851">
              <w:rPr>
                <w:rStyle w:val="Lienhypertexte"/>
                <w:noProof/>
              </w:rPr>
              <w:t>Evolution mensuelle de l’indice de la ville de Rabat et de celui du National</w:t>
            </w:r>
            <w:r w:rsidR="00611E2B">
              <w:rPr>
                <w:noProof/>
                <w:webHidden/>
              </w:rPr>
              <w:tab/>
            </w:r>
            <w:r>
              <w:rPr>
                <w:noProof/>
                <w:webHidden/>
              </w:rPr>
              <w:fldChar w:fldCharType="begin"/>
            </w:r>
            <w:r w:rsidR="00611E2B">
              <w:rPr>
                <w:noProof/>
                <w:webHidden/>
              </w:rPr>
              <w:instrText xml:space="preserve"> PAGEREF _Toc183085613 \h </w:instrText>
            </w:r>
            <w:r>
              <w:rPr>
                <w:noProof/>
                <w:webHidden/>
              </w:rPr>
            </w:r>
            <w:r>
              <w:rPr>
                <w:noProof/>
                <w:webHidden/>
              </w:rPr>
              <w:fldChar w:fldCharType="separate"/>
            </w:r>
            <w:r w:rsidR="00611E2B">
              <w:rPr>
                <w:noProof/>
                <w:webHidden/>
              </w:rPr>
              <w:t>6</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4" w:history="1">
            <w:r w:rsidR="00611E2B" w:rsidRPr="002D7851">
              <w:rPr>
                <w:rStyle w:val="Lienhypertexte"/>
                <w:noProof/>
              </w:rPr>
              <w:t>B.</w:t>
            </w:r>
            <w:r w:rsidR="00611E2B">
              <w:rPr>
                <w:noProof/>
                <w:lang w:val="en-US" w:eastAsia="en-US"/>
              </w:rPr>
              <w:tab/>
            </w:r>
            <w:r w:rsidR="00611E2B" w:rsidRPr="002D7851">
              <w:rPr>
                <w:rStyle w:val="Lienhypertexte"/>
                <w:noProof/>
              </w:rPr>
              <w:t>Evolution mensuelle de l’IPC à Rabat 2021-2022</w:t>
            </w:r>
            <w:r w:rsidR="00611E2B">
              <w:rPr>
                <w:noProof/>
                <w:webHidden/>
              </w:rPr>
              <w:tab/>
            </w:r>
            <w:r>
              <w:rPr>
                <w:noProof/>
                <w:webHidden/>
              </w:rPr>
              <w:fldChar w:fldCharType="begin"/>
            </w:r>
            <w:r w:rsidR="00611E2B">
              <w:rPr>
                <w:noProof/>
                <w:webHidden/>
              </w:rPr>
              <w:instrText xml:space="preserve"> PAGEREF _Toc183085614 \h </w:instrText>
            </w:r>
            <w:r>
              <w:rPr>
                <w:noProof/>
                <w:webHidden/>
              </w:rPr>
            </w:r>
            <w:r>
              <w:rPr>
                <w:noProof/>
                <w:webHidden/>
              </w:rPr>
              <w:fldChar w:fldCharType="separate"/>
            </w:r>
            <w:r w:rsidR="00611E2B">
              <w:rPr>
                <w:noProof/>
                <w:webHidden/>
              </w:rPr>
              <w:t>7</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5" w:history="1">
            <w:r w:rsidR="00611E2B" w:rsidRPr="002D7851">
              <w:rPr>
                <w:rStyle w:val="Lienhypertexte"/>
                <w:noProof/>
              </w:rPr>
              <w:t>C.</w:t>
            </w:r>
            <w:r w:rsidR="00611E2B">
              <w:rPr>
                <w:noProof/>
                <w:lang w:val="en-US" w:eastAsia="en-US"/>
              </w:rPr>
              <w:tab/>
            </w:r>
            <w:r w:rsidR="00611E2B" w:rsidRPr="002D7851">
              <w:rPr>
                <w:rStyle w:val="Lienhypertexte"/>
                <w:noProof/>
              </w:rPr>
              <w:t>Evolution mensuelle des indices : général, alimentaire et non alimentaire de la ville de Rabat</w:t>
            </w:r>
            <w:r w:rsidR="00611E2B">
              <w:rPr>
                <w:noProof/>
                <w:webHidden/>
              </w:rPr>
              <w:tab/>
            </w:r>
            <w:r>
              <w:rPr>
                <w:noProof/>
                <w:webHidden/>
              </w:rPr>
              <w:fldChar w:fldCharType="begin"/>
            </w:r>
            <w:r w:rsidR="00611E2B">
              <w:rPr>
                <w:noProof/>
                <w:webHidden/>
              </w:rPr>
              <w:instrText xml:space="preserve"> PAGEREF _Toc183085615 \h </w:instrText>
            </w:r>
            <w:r>
              <w:rPr>
                <w:noProof/>
                <w:webHidden/>
              </w:rPr>
            </w:r>
            <w:r>
              <w:rPr>
                <w:noProof/>
                <w:webHidden/>
              </w:rPr>
              <w:fldChar w:fldCharType="separate"/>
            </w:r>
            <w:r w:rsidR="00611E2B">
              <w:rPr>
                <w:noProof/>
                <w:webHidden/>
              </w:rPr>
              <w:t>8</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6" w:history="1">
            <w:r w:rsidR="00611E2B" w:rsidRPr="002D7851">
              <w:rPr>
                <w:rStyle w:val="Lienhypertexte"/>
                <w:noProof/>
              </w:rPr>
              <w:t>D.</w:t>
            </w:r>
            <w:r w:rsidR="00611E2B">
              <w:rPr>
                <w:noProof/>
                <w:lang w:val="en-US" w:eastAsia="en-US"/>
              </w:rPr>
              <w:tab/>
            </w:r>
            <w:r w:rsidR="00611E2B" w:rsidRPr="002D7851">
              <w:rPr>
                <w:rStyle w:val="Lienhypertexte"/>
                <w:noProof/>
              </w:rPr>
              <w:t>Evolution annuelle de l’indice général durant la période 2017-2022</w:t>
            </w:r>
            <w:r w:rsidR="00611E2B">
              <w:rPr>
                <w:noProof/>
                <w:webHidden/>
              </w:rPr>
              <w:tab/>
            </w:r>
            <w:r>
              <w:rPr>
                <w:noProof/>
                <w:webHidden/>
              </w:rPr>
              <w:fldChar w:fldCharType="begin"/>
            </w:r>
            <w:r w:rsidR="00611E2B">
              <w:rPr>
                <w:noProof/>
                <w:webHidden/>
              </w:rPr>
              <w:instrText xml:space="preserve"> PAGEREF _Toc183085616 \h </w:instrText>
            </w:r>
            <w:r>
              <w:rPr>
                <w:noProof/>
                <w:webHidden/>
              </w:rPr>
            </w:r>
            <w:r>
              <w:rPr>
                <w:noProof/>
                <w:webHidden/>
              </w:rPr>
              <w:fldChar w:fldCharType="separate"/>
            </w:r>
            <w:r w:rsidR="00611E2B">
              <w:rPr>
                <w:noProof/>
                <w:webHidden/>
              </w:rPr>
              <w:t>9</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7" w:history="1">
            <w:r w:rsidR="00611E2B" w:rsidRPr="002D7851">
              <w:rPr>
                <w:rStyle w:val="Lienhypertexte"/>
                <w:noProof/>
              </w:rPr>
              <w:t>E.</w:t>
            </w:r>
            <w:r w:rsidR="00611E2B">
              <w:rPr>
                <w:noProof/>
                <w:lang w:val="en-US" w:eastAsia="en-US"/>
              </w:rPr>
              <w:tab/>
            </w:r>
            <w:r w:rsidR="00611E2B" w:rsidRPr="002D7851">
              <w:rPr>
                <w:rStyle w:val="Lienhypertexte"/>
                <w:noProof/>
              </w:rPr>
              <w:t>Evolution annuelle de l’indice par division de produits entre 2021 et 2022</w:t>
            </w:r>
            <w:r w:rsidR="00611E2B">
              <w:rPr>
                <w:noProof/>
                <w:webHidden/>
              </w:rPr>
              <w:tab/>
            </w:r>
            <w:r>
              <w:rPr>
                <w:noProof/>
                <w:webHidden/>
              </w:rPr>
              <w:fldChar w:fldCharType="begin"/>
            </w:r>
            <w:r w:rsidR="00611E2B">
              <w:rPr>
                <w:noProof/>
                <w:webHidden/>
              </w:rPr>
              <w:instrText xml:space="preserve"> PAGEREF _Toc183085617 \h </w:instrText>
            </w:r>
            <w:r>
              <w:rPr>
                <w:noProof/>
                <w:webHidden/>
              </w:rPr>
            </w:r>
            <w:r>
              <w:rPr>
                <w:noProof/>
                <w:webHidden/>
              </w:rPr>
              <w:fldChar w:fldCharType="separate"/>
            </w:r>
            <w:r w:rsidR="00611E2B">
              <w:rPr>
                <w:noProof/>
                <w:webHidden/>
              </w:rPr>
              <w:t>9</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18" w:history="1">
            <w:r w:rsidR="00611E2B" w:rsidRPr="002D7851">
              <w:rPr>
                <w:rStyle w:val="Lienhypertexte"/>
                <w:noProof/>
              </w:rPr>
              <w:t>F.</w:t>
            </w:r>
            <w:r w:rsidR="00611E2B">
              <w:rPr>
                <w:noProof/>
                <w:lang w:val="en-US" w:eastAsia="en-US"/>
              </w:rPr>
              <w:tab/>
            </w:r>
            <w:r w:rsidR="00611E2B" w:rsidRPr="002D7851">
              <w:rPr>
                <w:rStyle w:val="Lienhypertexte"/>
                <w:noProof/>
              </w:rPr>
              <w:t>Evolution annuelle de l’indice par villes entre 2021 et 2022</w:t>
            </w:r>
            <w:r w:rsidR="00611E2B">
              <w:rPr>
                <w:noProof/>
                <w:webHidden/>
              </w:rPr>
              <w:tab/>
            </w:r>
            <w:r>
              <w:rPr>
                <w:noProof/>
                <w:webHidden/>
              </w:rPr>
              <w:fldChar w:fldCharType="begin"/>
            </w:r>
            <w:r w:rsidR="00611E2B">
              <w:rPr>
                <w:noProof/>
                <w:webHidden/>
              </w:rPr>
              <w:instrText xml:space="preserve"> PAGEREF _Toc183085618 \h </w:instrText>
            </w:r>
            <w:r>
              <w:rPr>
                <w:noProof/>
                <w:webHidden/>
              </w:rPr>
            </w:r>
            <w:r>
              <w:rPr>
                <w:noProof/>
                <w:webHidden/>
              </w:rPr>
              <w:fldChar w:fldCharType="separate"/>
            </w:r>
            <w:r w:rsidR="00611E2B">
              <w:rPr>
                <w:noProof/>
                <w:webHidden/>
              </w:rPr>
              <w:t>11</w:t>
            </w:r>
            <w:r>
              <w:rPr>
                <w:noProof/>
                <w:webHidden/>
              </w:rPr>
              <w:fldChar w:fldCharType="end"/>
            </w:r>
          </w:hyperlink>
        </w:p>
        <w:p w:rsidR="00611E2B" w:rsidRDefault="006C52F7">
          <w:pPr>
            <w:pStyle w:val="TM1"/>
            <w:tabs>
              <w:tab w:val="left" w:pos="440"/>
              <w:tab w:val="right" w:leader="dot" w:pos="9913"/>
            </w:tabs>
            <w:rPr>
              <w:noProof/>
              <w:lang w:val="en-US" w:eastAsia="en-US"/>
            </w:rPr>
          </w:pPr>
          <w:hyperlink w:anchor="_Toc183085619" w:history="1">
            <w:r w:rsidR="00611E2B" w:rsidRPr="002D7851">
              <w:rPr>
                <w:rStyle w:val="Lienhypertexte"/>
                <w:noProof/>
              </w:rPr>
              <w:t>V.</w:t>
            </w:r>
            <w:r w:rsidR="00611E2B">
              <w:rPr>
                <w:noProof/>
                <w:lang w:val="en-US" w:eastAsia="en-US"/>
              </w:rPr>
              <w:tab/>
            </w:r>
            <w:r w:rsidR="00611E2B" w:rsidRPr="002D7851">
              <w:rPr>
                <w:rStyle w:val="Lienhypertexte"/>
                <w:noProof/>
              </w:rPr>
              <w:t>Conclusion</w:t>
            </w:r>
            <w:r w:rsidR="00611E2B">
              <w:rPr>
                <w:noProof/>
                <w:webHidden/>
              </w:rPr>
              <w:tab/>
            </w:r>
            <w:r>
              <w:rPr>
                <w:noProof/>
                <w:webHidden/>
              </w:rPr>
              <w:fldChar w:fldCharType="begin"/>
            </w:r>
            <w:r w:rsidR="00611E2B">
              <w:rPr>
                <w:noProof/>
                <w:webHidden/>
              </w:rPr>
              <w:instrText xml:space="preserve"> PAGEREF _Toc183085619 \h </w:instrText>
            </w:r>
            <w:r>
              <w:rPr>
                <w:noProof/>
                <w:webHidden/>
              </w:rPr>
            </w:r>
            <w:r>
              <w:rPr>
                <w:noProof/>
                <w:webHidden/>
              </w:rPr>
              <w:fldChar w:fldCharType="separate"/>
            </w:r>
            <w:r w:rsidR="00611E2B">
              <w:rPr>
                <w:noProof/>
                <w:webHidden/>
              </w:rPr>
              <w:t>13</w:t>
            </w:r>
            <w:r>
              <w:rPr>
                <w:noProof/>
                <w:webHidden/>
              </w:rPr>
              <w:fldChar w:fldCharType="end"/>
            </w:r>
          </w:hyperlink>
        </w:p>
        <w:p w:rsidR="00611E2B" w:rsidRDefault="006C52F7">
          <w:pPr>
            <w:pStyle w:val="TM1"/>
            <w:tabs>
              <w:tab w:val="right" w:leader="dot" w:pos="9913"/>
            </w:tabs>
            <w:rPr>
              <w:noProof/>
              <w:lang w:val="en-US" w:eastAsia="en-US"/>
            </w:rPr>
          </w:pPr>
          <w:hyperlink w:anchor="_Toc183085620" w:history="1">
            <w:r w:rsidR="00611E2B" w:rsidRPr="002D7851">
              <w:rPr>
                <w:rStyle w:val="Lienhypertexte"/>
                <w:rFonts w:eastAsiaTheme="majorEastAsia" w:cstheme="majorBidi"/>
                <w:noProof/>
              </w:rPr>
              <w:t>ANNEXES</w:t>
            </w:r>
            <w:r w:rsidR="00611E2B">
              <w:rPr>
                <w:noProof/>
                <w:webHidden/>
              </w:rPr>
              <w:tab/>
            </w:r>
            <w:r>
              <w:rPr>
                <w:noProof/>
                <w:webHidden/>
              </w:rPr>
              <w:fldChar w:fldCharType="begin"/>
            </w:r>
            <w:r w:rsidR="00611E2B">
              <w:rPr>
                <w:noProof/>
                <w:webHidden/>
              </w:rPr>
              <w:instrText xml:space="preserve"> PAGEREF _Toc183085620 \h </w:instrText>
            </w:r>
            <w:r>
              <w:rPr>
                <w:noProof/>
                <w:webHidden/>
              </w:rPr>
            </w:r>
            <w:r>
              <w:rPr>
                <w:noProof/>
                <w:webHidden/>
              </w:rPr>
              <w:fldChar w:fldCharType="separate"/>
            </w:r>
            <w:r w:rsidR="00611E2B">
              <w:rPr>
                <w:noProof/>
                <w:webHidden/>
              </w:rPr>
              <w:t>14</w:t>
            </w:r>
            <w:r>
              <w:rPr>
                <w:noProof/>
                <w:webHidden/>
              </w:rPr>
              <w:fldChar w:fldCharType="end"/>
            </w:r>
          </w:hyperlink>
        </w:p>
        <w:p w:rsidR="00611E2B" w:rsidRDefault="006C52F7">
          <w:pPr>
            <w:pStyle w:val="TM1"/>
            <w:tabs>
              <w:tab w:val="left" w:pos="440"/>
              <w:tab w:val="right" w:leader="dot" w:pos="9913"/>
            </w:tabs>
            <w:rPr>
              <w:noProof/>
              <w:lang w:val="en-US" w:eastAsia="en-US"/>
            </w:rPr>
          </w:pPr>
          <w:hyperlink w:anchor="_Toc183085621" w:history="1">
            <w:r w:rsidR="00611E2B" w:rsidRPr="002D7851">
              <w:rPr>
                <w:rStyle w:val="Lienhypertexte"/>
                <w:noProof/>
              </w:rPr>
              <w:t>I.</w:t>
            </w:r>
            <w:r w:rsidR="00611E2B">
              <w:rPr>
                <w:noProof/>
                <w:lang w:val="en-US" w:eastAsia="en-US"/>
              </w:rPr>
              <w:tab/>
            </w:r>
            <w:r w:rsidR="00611E2B" w:rsidRPr="002D7851">
              <w:rPr>
                <w:rStyle w:val="Lienhypertexte"/>
                <w:noProof/>
              </w:rPr>
              <w:t>Aspects méthodologiques de l’IPC</w:t>
            </w:r>
            <w:r w:rsidR="00611E2B">
              <w:rPr>
                <w:noProof/>
                <w:webHidden/>
              </w:rPr>
              <w:tab/>
            </w:r>
            <w:r>
              <w:rPr>
                <w:noProof/>
                <w:webHidden/>
              </w:rPr>
              <w:fldChar w:fldCharType="begin"/>
            </w:r>
            <w:r w:rsidR="00611E2B">
              <w:rPr>
                <w:noProof/>
                <w:webHidden/>
              </w:rPr>
              <w:instrText xml:space="preserve"> PAGEREF _Toc183085621 \h </w:instrText>
            </w:r>
            <w:r>
              <w:rPr>
                <w:noProof/>
                <w:webHidden/>
              </w:rPr>
            </w:r>
            <w:r>
              <w:rPr>
                <w:noProof/>
                <w:webHidden/>
              </w:rPr>
              <w:fldChar w:fldCharType="separate"/>
            </w:r>
            <w:r w:rsidR="00611E2B">
              <w:rPr>
                <w:noProof/>
                <w:webHidden/>
              </w:rPr>
              <w:t>15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2" w:history="1">
            <w:r w:rsidR="00611E2B" w:rsidRPr="002D7851">
              <w:rPr>
                <w:rStyle w:val="Lienhypertexte"/>
                <w:noProof/>
              </w:rPr>
              <w:t>A.</w:t>
            </w:r>
            <w:r w:rsidR="00611E2B">
              <w:rPr>
                <w:noProof/>
                <w:lang w:val="en-US" w:eastAsia="en-US"/>
              </w:rPr>
              <w:tab/>
            </w:r>
            <w:r w:rsidR="00611E2B" w:rsidRPr="002D7851">
              <w:rPr>
                <w:rStyle w:val="Lienhypertexte"/>
                <w:noProof/>
              </w:rPr>
              <w:t>Population de référence</w:t>
            </w:r>
            <w:r w:rsidR="00611E2B">
              <w:rPr>
                <w:noProof/>
                <w:webHidden/>
              </w:rPr>
              <w:tab/>
            </w:r>
            <w:r>
              <w:rPr>
                <w:noProof/>
                <w:webHidden/>
              </w:rPr>
              <w:fldChar w:fldCharType="begin"/>
            </w:r>
            <w:r w:rsidR="00611E2B">
              <w:rPr>
                <w:noProof/>
                <w:webHidden/>
              </w:rPr>
              <w:instrText xml:space="preserve"> PAGEREF _Toc183085622 \h </w:instrText>
            </w:r>
            <w:r>
              <w:rPr>
                <w:noProof/>
                <w:webHidden/>
              </w:rPr>
            </w:r>
            <w:r>
              <w:rPr>
                <w:noProof/>
                <w:webHidden/>
              </w:rPr>
              <w:fldChar w:fldCharType="separate"/>
            </w:r>
            <w:r w:rsidR="00611E2B">
              <w:rPr>
                <w:noProof/>
                <w:webHidden/>
              </w:rPr>
              <w:t>15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3" w:history="1">
            <w:r w:rsidR="00611E2B" w:rsidRPr="002D7851">
              <w:rPr>
                <w:rStyle w:val="Lienhypertexte"/>
                <w:noProof/>
              </w:rPr>
              <w:t>B.</w:t>
            </w:r>
            <w:r w:rsidR="00611E2B">
              <w:rPr>
                <w:noProof/>
                <w:lang w:val="en-US" w:eastAsia="en-US"/>
              </w:rPr>
              <w:tab/>
            </w:r>
            <w:r w:rsidR="00611E2B" w:rsidRPr="002D7851">
              <w:rPr>
                <w:rStyle w:val="Lienhypertexte"/>
                <w:noProof/>
              </w:rPr>
              <w:t>Panier de l’indice</w:t>
            </w:r>
            <w:r w:rsidR="00611E2B">
              <w:rPr>
                <w:noProof/>
                <w:webHidden/>
              </w:rPr>
              <w:tab/>
            </w:r>
            <w:r>
              <w:rPr>
                <w:noProof/>
                <w:webHidden/>
              </w:rPr>
              <w:fldChar w:fldCharType="begin"/>
            </w:r>
            <w:r w:rsidR="00611E2B">
              <w:rPr>
                <w:noProof/>
                <w:webHidden/>
              </w:rPr>
              <w:instrText xml:space="preserve"> PAGEREF _Toc183085623 \h </w:instrText>
            </w:r>
            <w:r>
              <w:rPr>
                <w:noProof/>
                <w:webHidden/>
              </w:rPr>
            </w:r>
            <w:r>
              <w:rPr>
                <w:noProof/>
                <w:webHidden/>
              </w:rPr>
              <w:fldChar w:fldCharType="separate"/>
            </w:r>
            <w:r w:rsidR="00611E2B">
              <w:rPr>
                <w:noProof/>
                <w:webHidden/>
              </w:rPr>
              <w:t>15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4" w:history="1">
            <w:r w:rsidR="00611E2B" w:rsidRPr="002D7851">
              <w:rPr>
                <w:rStyle w:val="Lienhypertexte"/>
                <w:rFonts w:asciiTheme="majorBidi" w:hAnsiTheme="majorBidi"/>
                <w:noProof/>
              </w:rPr>
              <w:t>C.</w:t>
            </w:r>
            <w:r w:rsidR="00611E2B">
              <w:rPr>
                <w:noProof/>
                <w:lang w:val="en-US" w:eastAsia="en-US"/>
              </w:rPr>
              <w:tab/>
            </w:r>
            <w:r w:rsidR="00611E2B" w:rsidRPr="002D7851">
              <w:rPr>
                <w:rStyle w:val="Lienhypertexte"/>
                <w:noProof/>
              </w:rPr>
              <w:t>Champ géographique</w:t>
            </w:r>
            <w:r w:rsidR="00611E2B">
              <w:rPr>
                <w:noProof/>
                <w:webHidden/>
              </w:rPr>
              <w:tab/>
            </w:r>
            <w:r>
              <w:rPr>
                <w:noProof/>
                <w:webHidden/>
              </w:rPr>
              <w:fldChar w:fldCharType="begin"/>
            </w:r>
            <w:r w:rsidR="00611E2B">
              <w:rPr>
                <w:noProof/>
                <w:webHidden/>
              </w:rPr>
              <w:instrText xml:space="preserve"> PAGEREF _Toc183085624 \h </w:instrText>
            </w:r>
            <w:r>
              <w:rPr>
                <w:noProof/>
                <w:webHidden/>
              </w:rPr>
            </w:r>
            <w:r>
              <w:rPr>
                <w:noProof/>
                <w:webHidden/>
              </w:rPr>
              <w:fldChar w:fldCharType="separate"/>
            </w:r>
            <w:r w:rsidR="00611E2B">
              <w:rPr>
                <w:noProof/>
                <w:webHidden/>
              </w:rPr>
              <w:t>15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5" w:history="1">
            <w:r w:rsidR="00611E2B" w:rsidRPr="002D7851">
              <w:rPr>
                <w:rStyle w:val="Lienhypertexte"/>
                <w:noProof/>
              </w:rPr>
              <w:t>D.</w:t>
            </w:r>
            <w:r w:rsidR="00611E2B">
              <w:rPr>
                <w:noProof/>
                <w:lang w:val="en-US" w:eastAsia="en-US"/>
              </w:rPr>
              <w:tab/>
            </w:r>
            <w:r w:rsidR="00611E2B" w:rsidRPr="002D7851">
              <w:rPr>
                <w:rStyle w:val="Lienhypertexte"/>
                <w:noProof/>
              </w:rPr>
              <w:t>Coefficients de pondération</w:t>
            </w:r>
            <w:r w:rsidR="00611E2B">
              <w:rPr>
                <w:noProof/>
                <w:webHidden/>
              </w:rPr>
              <w:tab/>
            </w:r>
            <w:r>
              <w:rPr>
                <w:noProof/>
                <w:webHidden/>
              </w:rPr>
              <w:fldChar w:fldCharType="begin"/>
            </w:r>
            <w:r w:rsidR="00611E2B">
              <w:rPr>
                <w:noProof/>
                <w:webHidden/>
              </w:rPr>
              <w:instrText xml:space="preserve"> PAGEREF _Toc183085625 \h </w:instrText>
            </w:r>
            <w:r>
              <w:rPr>
                <w:noProof/>
                <w:webHidden/>
              </w:rPr>
            </w:r>
            <w:r>
              <w:rPr>
                <w:noProof/>
                <w:webHidden/>
              </w:rPr>
              <w:fldChar w:fldCharType="separate"/>
            </w:r>
            <w:r w:rsidR="00611E2B">
              <w:rPr>
                <w:noProof/>
                <w:webHidden/>
              </w:rPr>
              <w:t>15</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6" w:history="1">
            <w:r w:rsidR="00611E2B" w:rsidRPr="002D7851">
              <w:rPr>
                <w:rStyle w:val="Lienhypertexte"/>
                <w:noProof/>
              </w:rPr>
              <w:t>E.</w:t>
            </w:r>
            <w:r w:rsidR="00611E2B">
              <w:rPr>
                <w:noProof/>
                <w:lang w:val="en-US" w:eastAsia="en-US"/>
              </w:rPr>
              <w:tab/>
            </w:r>
            <w:r w:rsidR="00611E2B" w:rsidRPr="002D7851">
              <w:rPr>
                <w:rStyle w:val="Lienhypertexte"/>
                <w:noProof/>
              </w:rPr>
              <w:t>Nomenclature</w:t>
            </w:r>
            <w:r w:rsidR="00611E2B">
              <w:rPr>
                <w:noProof/>
                <w:webHidden/>
              </w:rPr>
              <w:tab/>
            </w:r>
            <w:r>
              <w:rPr>
                <w:noProof/>
                <w:webHidden/>
              </w:rPr>
              <w:fldChar w:fldCharType="begin"/>
            </w:r>
            <w:r w:rsidR="00611E2B">
              <w:rPr>
                <w:noProof/>
                <w:webHidden/>
              </w:rPr>
              <w:instrText xml:space="preserve"> PAGEREF _Toc183085626 \h </w:instrText>
            </w:r>
            <w:r>
              <w:rPr>
                <w:noProof/>
                <w:webHidden/>
              </w:rPr>
            </w:r>
            <w:r>
              <w:rPr>
                <w:noProof/>
                <w:webHidden/>
              </w:rPr>
              <w:fldChar w:fldCharType="separate"/>
            </w:r>
            <w:r w:rsidR="00611E2B">
              <w:rPr>
                <w:noProof/>
                <w:webHidden/>
              </w:rPr>
              <w:t>17</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7" w:history="1">
            <w:r w:rsidR="00611E2B" w:rsidRPr="002D7851">
              <w:rPr>
                <w:rStyle w:val="Lienhypertexte"/>
                <w:noProof/>
              </w:rPr>
              <w:t>F.</w:t>
            </w:r>
            <w:r w:rsidR="00611E2B">
              <w:rPr>
                <w:noProof/>
                <w:lang w:val="en-US" w:eastAsia="en-US"/>
              </w:rPr>
              <w:tab/>
            </w:r>
            <w:r w:rsidR="00611E2B" w:rsidRPr="002D7851">
              <w:rPr>
                <w:rStyle w:val="Lienhypertexte"/>
                <w:noProof/>
              </w:rPr>
              <w:t>Périodicité de l’enquête</w:t>
            </w:r>
            <w:r w:rsidR="00611E2B">
              <w:rPr>
                <w:noProof/>
                <w:webHidden/>
              </w:rPr>
              <w:tab/>
            </w:r>
            <w:r>
              <w:rPr>
                <w:noProof/>
                <w:webHidden/>
              </w:rPr>
              <w:fldChar w:fldCharType="begin"/>
            </w:r>
            <w:r w:rsidR="00611E2B">
              <w:rPr>
                <w:noProof/>
                <w:webHidden/>
              </w:rPr>
              <w:instrText xml:space="preserve"> PAGEREF _Toc183085627 \h </w:instrText>
            </w:r>
            <w:r>
              <w:rPr>
                <w:noProof/>
                <w:webHidden/>
              </w:rPr>
            </w:r>
            <w:r>
              <w:rPr>
                <w:noProof/>
                <w:webHidden/>
              </w:rPr>
              <w:fldChar w:fldCharType="separate"/>
            </w:r>
            <w:r w:rsidR="00611E2B">
              <w:rPr>
                <w:noProof/>
                <w:webHidden/>
              </w:rPr>
              <w:t>17</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8" w:history="1">
            <w:r w:rsidR="00611E2B" w:rsidRPr="002D7851">
              <w:rPr>
                <w:rStyle w:val="Lienhypertexte"/>
                <w:noProof/>
              </w:rPr>
              <w:t>G.</w:t>
            </w:r>
            <w:r w:rsidR="00611E2B">
              <w:rPr>
                <w:noProof/>
                <w:lang w:val="en-US" w:eastAsia="en-US"/>
              </w:rPr>
              <w:tab/>
            </w:r>
            <w:r w:rsidR="00611E2B" w:rsidRPr="002D7851">
              <w:rPr>
                <w:rStyle w:val="Lienhypertexte"/>
                <w:noProof/>
              </w:rPr>
              <w:t>Zones d’observation</w:t>
            </w:r>
            <w:r w:rsidR="00611E2B">
              <w:rPr>
                <w:noProof/>
                <w:webHidden/>
              </w:rPr>
              <w:tab/>
            </w:r>
            <w:r>
              <w:rPr>
                <w:noProof/>
                <w:webHidden/>
              </w:rPr>
              <w:fldChar w:fldCharType="begin"/>
            </w:r>
            <w:r w:rsidR="00611E2B">
              <w:rPr>
                <w:noProof/>
                <w:webHidden/>
              </w:rPr>
              <w:instrText xml:space="preserve"> PAGEREF _Toc183085628 \h </w:instrText>
            </w:r>
            <w:r>
              <w:rPr>
                <w:noProof/>
                <w:webHidden/>
              </w:rPr>
            </w:r>
            <w:r>
              <w:rPr>
                <w:noProof/>
                <w:webHidden/>
              </w:rPr>
              <w:fldChar w:fldCharType="separate"/>
            </w:r>
            <w:r w:rsidR="00611E2B">
              <w:rPr>
                <w:noProof/>
                <w:webHidden/>
              </w:rPr>
              <w:t>17</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29" w:history="1">
            <w:r w:rsidR="00611E2B" w:rsidRPr="002D7851">
              <w:rPr>
                <w:rStyle w:val="Lienhypertexte"/>
                <w:noProof/>
              </w:rPr>
              <w:t>H.</w:t>
            </w:r>
            <w:r w:rsidR="00611E2B">
              <w:rPr>
                <w:noProof/>
                <w:lang w:val="en-US" w:eastAsia="en-US"/>
              </w:rPr>
              <w:tab/>
            </w:r>
            <w:r w:rsidR="00611E2B" w:rsidRPr="002D7851">
              <w:rPr>
                <w:rStyle w:val="Lienhypertexte"/>
                <w:noProof/>
              </w:rPr>
              <w:t>Points de vente</w:t>
            </w:r>
            <w:r w:rsidR="00611E2B">
              <w:rPr>
                <w:noProof/>
                <w:webHidden/>
              </w:rPr>
              <w:tab/>
            </w:r>
            <w:r>
              <w:rPr>
                <w:noProof/>
                <w:webHidden/>
              </w:rPr>
              <w:fldChar w:fldCharType="begin"/>
            </w:r>
            <w:r w:rsidR="00611E2B">
              <w:rPr>
                <w:noProof/>
                <w:webHidden/>
              </w:rPr>
              <w:instrText xml:space="preserve"> PAGEREF _Toc183085629 \h </w:instrText>
            </w:r>
            <w:r>
              <w:rPr>
                <w:noProof/>
                <w:webHidden/>
              </w:rPr>
            </w:r>
            <w:r>
              <w:rPr>
                <w:noProof/>
                <w:webHidden/>
              </w:rPr>
              <w:fldChar w:fldCharType="separate"/>
            </w:r>
            <w:r w:rsidR="00611E2B">
              <w:rPr>
                <w:noProof/>
                <w:webHidden/>
              </w:rPr>
              <w:t>18</w:t>
            </w:r>
            <w:r>
              <w:rPr>
                <w:noProof/>
                <w:webHidden/>
              </w:rPr>
              <w:fldChar w:fldCharType="end"/>
            </w:r>
          </w:hyperlink>
        </w:p>
        <w:p w:rsidR="00611E2B" w:rsidRDefault="006C52F7">
          <w:pPr>
            <w:pStyle w:val="TM2"/>
            <w:tabs>
              <w:tab w:val="left" w:pos="660"/>
              <w:tab w:val="right" w:leader="dot" w:pos="9913"/>
            </w:tabs>
            <w:rPr>
              <w:noProof/>
              <w:lang w:val="en-US" w:eastAsia="en-US"/>
            </w:rPr>
          </w:pPr>
          <w:hyperlink w:anchor="_Toc183085630" w:history="1">
            <w:r w:rsidR="00611E2B" w:rsidRPr="002D7851">
              <w:rPr>
                <w:rStyle w:val="Lienhypertexte"/>
                <w:noProof/>
              </w:rPr>
              <w:t>I.</w:t>
            </w:r>
            <w:r w:rsidR="00611E2B">
              <w:rPr>
                <w:noProof/>
                <w:lang w:val="en-US" w:eastAsia="en-US"/>
              </w:rPr>
              <w:tab/>
            </w:r>
            <w:r w:rsidR="00611E2B" w:rsidRPr="002D7851">
              <w:rPr>
                <w:rStyle w:val="Lienhypertexte"/>
                <w:noProof/>
              </w:rPr>
              <w:t>Formule de calcul</w:t>
            </w:r>
            <w:r w:rsidR="00611E2B">
              <w:rPr>
                <w:noProof/>
                <w:webHidden/>
              </w:rPr>
              <w:tab/>
            </w:r>
            <w:r>
              <w:rPr>
                <w:noProof/>
                <w:webHidden/>
              </w:rPr>
              <w:fldChar w:fldCharType="begin"/>
            </w:r>
            <w:r w:rsidR="00611E2B">
              <w:rPr>
                <w:noProof/>
                <w:webHidden/>
              </w:rPr>
              <w:instrText xml:space="preserve"> PAGEREF _Toc183085630 \h </w:instrText>
            </w:r>
            <w:r>
              <w:rPr>
                <w:noProof/>
                <w:webHidden/>
              </w:rPr>
            </w:r>
            <w:r>
              <w:rPr>
                <w:noProof/>
                <w:webHidden/>
              </w:rPr>
              <w:fldChar w:fldCharType="separate"/>
            </w:r>
            <w:r w:rsidR="00611E2B">
              <w:rPr>
                <w:noProof/>
                <w:webHidden/>
              </w:rPr>
              <w:t>18</w:t>
            </w:r>
            <w:r>
              <w:rPr>
                <w:noProof/>
                <w:webHidden/>
              </w:rPr>
              <w:fldChar w:fldCharType="end"/>
            </w:r>
          </w:hyperlink>
        </w:p>
        <w:p w:rsidR="00611E2B" w:rsidRDefault="006C52F7">
          <w:pPr>
            <w:pStyle w:val="TM1"/>
            <w:tabs>
              <w:tab w:val="left" w:pos="440"/>
              <w:tab w:val="right" w:leader="dot" w:pos="9913"/>
            </w:tabs>
            <w:rPr>
              <w:noProof/>
              <w:lang w:val="en-US" w:eastAsia="en-US"/>
            </w:rPr>
          </w:pPr>
          <w:hyperlink w:anchor="_Toc183085631" w:history="1">
            <w:r w:rsidR="00611E2B" w:rsidRPr="002D7851">
              <w:rPr>
                <w:rStyle w:val="Lienhypertexte"/>
                <w:noProof/>
              </w:rPr>
              <w:t>II.</w:t>
            </w:r>
            <w:r w:rsidR="00611E2B">
              <w:rPr>
                <w:noProof/>
                <w:lang w:val="en-US" w:eastAsia="en-US"/>
              </w:rPr>
              <w:tab/>
            </w:r>
            <w:r w:rsidR="00611E2B" w:rsidRPr="002D7851">
              <w:rPr>
                <w:rStyle w:val="Lienhypertexte"/>
                <w:noProof/>
              </w:rPr>
              <w:t>Liste des tableaux annexes</w:t>
            </w:r>
            <w:r w:rsidR="00611E2B">
              <w:rPr>
                <w:noProof/>
                <w:webHidden/>
              </w:rPr>
              <w:tab/>
            </w:r>
            <w:r>
              <w:rPr>
                <w:noProof/>
                <w:webHidden/>
              </w:rPr>
              <w:fldChar w:fldCharType="begin"/>
            </w:r>
            <w:r w:rsidR="00611E2B">
              <w:rPr>
                <w:noProof/>
                <w:webHidden/>
              </w:rPr>
              <w:instrText xml:space="preserve"> PAGEREF _Toc183085631 \h </w:instrText>
            </w:r>
            <w:r>
              <w:rPr>
                <w:noProof/>
                <w:webHidden/>
              </w:rPr>
            </w:r>
            <w:r>
              <w:rPr>
                <w:noProof/>
                <w:webHidden/>
              </w:rPr>
              <w:fldChar w:fldCharType="separate"/>
            </w:r>
            <w:r w:rsidR="00611E2B">
              <w:rPr>
                <w:noProof/>
                <w:webHidden/>
              </w:rPr>
              <w:t>19</w:t>
            </w:r>
            <w:r>
              <w:rPr>
                <w:noProof/>
                <w:webHidden/>
              </w:rPr>
              <w:fldChar w:fldCharType="end"/>
            </w:r>
          </w:hyperlink>
        </w:p>
        <w:p w:rsidR="008B74DA" w:rsidRPr="00BD1AB1" w:rsidRDefault="006C52F7" w:rsidP="008B74DA">
          <w:pPr>
            <w:rPr>
              <w:b/>
              <w:bCs/>
            </w:rPr>
          </w:pPr>
          <w:r w:rsidRPr="003A58A6">
            <w:fldChar w:fldCharType="end"/>
          </w:r>
        </w:p>
      </w:sdtContent>
    </w:sdt>
    <w:p w:rsidR="00BC2DF5" w:rsidRPr="008B74DA" w:rsidRDefault="00BC2DF5" w:rsidP="005405A4">
      <w:pPr>
        <w:pStyle w:val="Titre1"/>
        <w:spacing w:before="240" w:after="240"/>
        <w:rPr>
          <w:rFonts w:asciiTheme="majorBidi" w:hAnsiTheme="majorBidi"/>
          <w:b w:val="0"/>
          <w:bCs w:val="0"/>
          <w:color w:val="0070C0"/>
          <w:sz w:val="22"/>
          <w:szCs w:val="22"/>
        </w:rPr>
      </w:pPr>
    </w:p>
    <w:p w:rsidR="0036690E" w:rsidRDefault="0036690E" w:rsidP="0036690E"/>
    <w:p w:rsidR="0036690E" w:rsidRDefault="0036690E" w:rsidP="0036690E"/>
    <w:p w:rsidR="00D44902" w:rsidRDefault="00D44902" w:rsidP="0036690E"/>
    <w:p w:rsidR="0036690E" w:rsidRDefault="0036690E" w:rsidP="0036690E"/>
    <w:p w:rsidR="00170E99" w:rsidRDefault="00170E99">
      <w:r>
        <w:br w:type="page"/>
      </w:r>
    </w:p>
    <w:p w:rsidR="00DF0AAD" w:rsidRPr="00A87EFE" w:rsidRDefault="00DF0AAD" w:rsidP="00BD1AB1">
      <w:pPr>
        <w:pStyle w:val="Titre1"/>
        <w:numPr>
          <w:ilvl w:val="0"/>
          <w:numId w:val="4"/>
        </w:numPr>
        <w:tabs>
          <w:tab w:val="left" w:pos="4962"/>
        </w:tabs>
        <w:rPr>
          <w:rFonts w:asciiTheme="minorHAnsi" w:hAnsiTheme="minorHAnsi"/>
          <w:color w:val="984806" w:themeColor="accent6" w:themeShade="80"/>
        </w:rPr>
      </w:pPr>
      <w:bookmarkStart w:id="0" w:name="_Toc65354728"/>
      <w:bookmarkStart w:id="1" w:name="_Toc65354899"/>
      <w:bookmarkStart w:id="2" w:name="_Toc183085607"/>
      <w:r w:rsidRPr="00A87EFE">
        <w:rPr>
          <w:rFonts w:asciiTheme="minorHAnsi" w:hAnsiTheme="minorHAnsi"/>
          <w:color w:val="984806" w:themeColor="accent6" w:themeShade="80"/>
        </w:rPr>
        <w:lastRenderedPageBreak/>
        <w:t>Introduction</w:t>
      </w:r>
      <w:bookmarkEnd w:id="0"/>
      <w:bookmarkEnd w:id="1"/>
      <w:bookmarkEnd w:id="2"/>
      <w:r w:rsidRPr="00A87EFE">
        <w:rPr>
          <w:rFonts w:asciiTheme="minorHAnsi" w:hAnsiTheme="minorHAnsi"/>
          <w:color w:val="984806" w:themeColor="accent6" w:themeShade="80"/>
        </w:rPr>
        <w:t> </w:t>
      </w:r>
    </w:p>
    <w:p w:rsidR="0002472B" w:rsidRDefault="00DF0AAD" w:rsidP="0002472B">
      <w:pPr>
        <w:pStyle w:val="Retraitcorpsdetexte"/>
        <w:bidi w:val="0"/>
        <w:spacing w:before="100" w:beforeAutospacing="1" w:after="100" w:afterAutospacing="1" w:line="276" w:lineRule="auto"/>
        <w:ind w:left="-567" w:firstLine="708"/>
        <w:rPr>
          <w:rFonts w:asciiTheme="minorHAnsi" w:eastAsiaTheme="minorEastAsia" w:hAnsiTheme="minorHAnsi" w:cstheme="minorBidi"/>
          <w:sz w:val="22"/>
          <w:szCs w:val="22"/>
          <w:lang w:bidi="ar-SA"/>
        </w:rPr>
      </w:pPr>
      <w:r w:rsidRPr="005D311B">
        <w:rPr>
          <w:rFonts w:asciiTheme="minorHAnsi" w:eastAsiaTheme="minorEastAsia" w:hAnsiTheme="minorHAnsi" w:cstheme="minorBidi"/>
          <w:sz w:val="22"/>
          <w:szCs w:val="22"/>
          <w:lang w:bidi="ar-SA"/>
        </w:rPr>
        <w:t>La finalité des indices des prix consiste à mesurer d’une façon globale la variation des prix à un stade donné de commercialisation. Grâce à cette propriété, ils permettent de suivre la conjoncture économique, de faire des comparaisons dans le temps et dans l’espace et d’évaluer le pouvoir d’achat du consommateur.</w:t>
      </w:r>
    </w:p>
    <w:p w:rsidR="0002472B" w:rsidRPr="001863F1" w:rsidRDefault="005D6325" w:rsidP="0002472B">
      <w:pPr>
        <w:pStyle w:val="Retraitcorpsdetexte"/>
        <w:bidi w:val="0"/>
        <w:spacing w:before="120" w:after="120" w:line="276" w:lineRule="auto"/>
        <w:ind w:left="-567"/>
        <w:rPr>
          <w:rFonts w:asciiTheme="minorHAnsi" w:eastAsiaTheme="minorEastAsia" w:hAnsiTheme="minorHAnsi" w:cstheme="minorBidi"/>
          <w:sz w:val="22"/>
          <w:szCs w:val="22"/>
          <w:lang w:val="fr-MA" w:bidi="ar-SA"/>
        </w:rPr>
      </w:pPr>
      <w:r w:rsidRPr="005D311B">
        <w:rPr>
          <w:rFonts w:asciiTheme="minorHAnsi" w:eastAsiaTheme="minorEastAsia" w:hAnsiTheme="minorHAnsi" w:cstheme="minorBidi"/>
          <w:sz w:val="22"/>
          <w:szCs w:val="22"/>
          <w:lang w:bidi="ar-SA"/>
        </w:rPr>
        <w:t xml:space="preserve">De par ses missions, le Haut-Commissariat au Plan (HCP) réalise une </w:t>
      </w:r>
      <w:r w:rsidR="00276270" w:rsidRPr="005D311B">
        <w:rPr>
          <w:rFonts w:asciiTheme="minorHAnsi" w:eastAsiaTheme="minorEastAsia" w:hAnsiTheme="minorHAnsi" w:cstheme="minorBidi"/>
          <w:sz w:val="22"/>
          <w:szCs w:val="22"/>
          <w:lang w:bidi="ar-SA"/>
        </w:rPr>
        <w:t>enquête permanente</w:t>
      </w:r>
      <w:r w:rsidRPr="005D311B">
        <w:rPr>
          <w:rFonts w:asciiTheme="minorHAnsi" w:eastAsiaTheme="minorEastAsia" w:hAnsiTheme="minorHAnsi" w:cstheme="minorBidi"/>
          <w:sz w:val="22"/>
          <w:szCs w:val="22"/>
          <w:lang w:bidi="ar-SA"/>
        </w:rPr>
        <w:t xml:space="preserve"> sur les prix à la consommation dont les données servent de base pour le calcul mensuel de l’Indice des Prix à la Consommation (IPC). Cet indice permet de mesurer, entre deux périodes, la variation du niveau général des prix des biens et des services acquis par la population de référence à des fins de consommation. </w:t>
      </w:r>
    </w:p>
    <w:p w:rsidR="00552924" w:rsidRPr="00552924" w:rsidRDefault="00552924" w:rsidP="0002472B">
      <w:pPr>
        <w:pStyle w:val="Retraitcorpsdetexte"/>
        <w:bidi w:val="0"/>
        <w:spacing w:before="120" w:after="120" w:line="276" w:lineRule="auto"/>
        <w:ind w:left="-567"/>
        <w:rPr>
          <w:rFonts w:asciiTheme="minorHAnsi" w:eastAsiaTheme="minorEastAsia" w:hAnsiTheme="minorHAnsi" w:cstheme="minorBidi"/>
          <w:sz w:val="4"/>
          <w:szCs w:val="4"/>
          <w:lang w:bidi="ar-SA"/>
        </w:rPr>
      </w:pPr>
    </w:p>
    <w:p w:rsidR="00DF0AAD" w:rsidRDefault="005D6325" w:rsidP="00A72096">
      <w:pPr>
        <w:pStyle w:val="Retraitcorpsdetexte"/>
        <w:bidi w:val="0"/>
        <w:spacing w:before="120" w:after="120" w:line="276" w:lineRule="auto"/>
        <w:ind w:left="-567"/>
        <w:rPr>
          <w:rFonts w:asciiTheme="minorHAnsi" w:eastAsiaTheme="minorEastAsia" w:hAnsiTheme="minorHAnsi" w:cstheme="minorBidi"/>
          <w:sz w:val="22"/>
          <w:szCs w:val="22"/>
          <w:lang w:bidi="ar-SA"/>
        </w:rPr>
      </w:pPr>
      <w:r w:rsidRPr="005D311B">
        <w:rPr>
          <w:rFonts w:asciiTheme="minorHAnsi" w:eastAsiaTheme="minorEastAsia" w:hAnsiTheme="minorHAnsi" w:cstheme="minorBidi"/>
          <w:sz w:val="22"/>
          <w:szCs w:val="22"/>
          <w:lang w:bidi="ar-SA"/>
        </w:rPr>
        <w:t>Dans le présent rapport, nous mettrons la lumière  sur la dernière réforme de l’IPC qui utilisera 2017 comme année de base au lieu de 2006, ensuite nous rappellerons les principales caractéristiques de l’indice des prix à la Consommation (IPC) : définition, aspects méthodologiques, formule de calcul, zones d’observation et points de vente ;  enfin on va aborder les principaux résultats relatifs à cet indice et son évolution  au niveau de la ville de Rabat par  rapport au Maroc et par  rapport aux autres villes du Royaume</w:t>
      </w:r>
      <w:r>
        <w:rPr>
          <w:rFonts w:asciiTheme="minorHAnsi" w:eastAsiaTheme="minorEastAsia" w:hAnsiTheme="minorHAnsi" w:cstheme="minorBidi"/>
          <w:sz w:val="22"/>
          <w:szCs w:val="22"/>
          <w:lang w:bidi="ar-SA"/>
        </w:rPr>
        <w:t xml:space="preserve"> durant l’année </w:t>
      </w:r>
      <w:r w:rsidR="00A72096">
        <w:rPr>
          <w:rFonts w:asciiTheme="minorHAnsi" w:eastAsiaTheme="minorEastAsia" w:hAnsiTheme="minorHAnsi" w:cstheme="minorBidi"/>
          <w:sz w:val="22"/>
          <w:szCs w:val="22"/>
          <w:lang w:bidi="ar-SA"/>
        </w:rPr>
        <w:t>2022</w:t>
      </w:r>
      <w:r>
        <w:rPr>
          <w:rFonts w:asciiTheme="minorHAnsi" w:eastAsiaTheme="minorEastAsia" w:hAnsiTheme="minorHAnsi" w:cstheme="minorBidi"/>
          <w:sz w:val="22"/>
          <w:szCs w:val="22"/>
          <w:lang w:bidi="ar-SA"/>
        </w:rPr>
        <w:t>.</w:t>
      </w: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AA1F93" w:rsidRDefault="00AA1F93" w:rsidP="00AA1F93">
      <w:pPr>
        <w:pStyle w:val="Retraitcorpsdetexte"/>
        <w:bidi w:val="0"/>
        <w:spacing w:before="120" w:after="120" w:line="240" w:lineRule="auto"/>
        <w:ind w:right="-295"/>
        <w:rPr>
          <w:rFonts w:eastAsia="Arial Unicode MS"/>
          <w:sz w:val="22"/>
          <w:szCs w:val="22"/>
        </w:rPr>
      </w:pPr>
    </w:p>
    <w:p w:rsidR="0002472B" w:rsidRDefault="0002472B" w:rsidP="0002472B">
      <w:pPr>
        <w:pStyle w:val="Retraitcorpsdetexte"/>
        <w:bidi w:val="0"/>
        <w:spacing w:before="120" w:after="120" w:line="240" w:lineRule="auto"/>
        <w:ind w:right="-295"/>
        <w:rPr>
          <w:rFonts w:eastAsia="Arial Unicode MS"/>
          <w:sz w:val="22"/>
          <w:szCs w:val="22"/>
        </w:rPr>
      </w:pPr>
    </w:p>
    <w:p w:rsidR="0002472B" w:rsidRDefault="0002472B" w:rsidP="0002472B">
      <w:pPr>
        <w:pStyle w:val="Retraitcorpsdetexte"/>
        <w:bidi w:val="0"/>
        <w:spacing w:before="120" w:after="120" w:line="240" w:lineRule="auto"/>
        <w:ind w:right="-295"/>
        <w:rPr>
          <w:rFonts w:eastAsia="Arial Unicode MS"/>
          <w:sz w:val="22"/>
          <w:szCs w:val="22"/>
        </w:rPr>
      </w:pPr>
    </w:p>
    <w:p w:rsidR="0002472B" w:rsidRDefault="0002472B" w:rsidP="0002472B">
      <w:pPr>
        <w:pStyle w:val="Retraitcorpsdetexte"/>
        <w:bidi w:val="0"/>
        <w:spacing w:before="120" w:after="120" w:line="240" w:lineRule="auto"/>
        <w:ind w:right="-295"/>
        <w:rPr>
          <w:rFonts w:eastAsia="Arial Unicode MS"/>
          <w:sz w:val="22"/>
          <w:szCs w:val="22"/>
        </w:rPr>
      </w:pPr>
    </w:p>
    <w:p w:rsidR="0002472B" w:rsidRDefault="0002472B" w:rsidP="0002472B">
      <w:pPr>
        <w:pStyle w:val="Retraitcorpsdetexte"/>
        <w:bidi w:val="0"/>
        <w:spacing w:before="120" w:after="120" w:line="240" w:lineRule="auto"/>
        <w:ind w:right="-295"/>
        <w:rPr>
          <w:rFonts w:eastAsia="Arial Unicode MS"/>
          <w:sz w:val="22"/>
          <w:szCs w:val="22"/>
        </w:rPr>
      </w:pPr>
    </w:p>
    <w:p w:rsidR="0002472B" w:rsidRDefault="0002472B" w:rsidP="0002472B">
      <w:pPr>
        <w:pStyle w:val="Retraitcorpsdetexte"/>
        <w:bidi w:val="0"/>
        <w:spacing w:before="120" w:after="120" w:line="240" w:lineRule="auto"/>
        <w:ind w:right="-295"/>
        <w:rPr>
          <w:rFonts w:eastAsia="Arial Unicode MS"/>
          <w:sz w:val="22"/>
          <w:szCs w:val="22"/>
        </w:rPr>
      </w:pPr>
    </w:p>
    <w:p w:rsidR="00552924" w:rsidRDefault="00552924" w:rsidP="00552924">
      <w:pPr>
        <w:pStyle w:val="Retraitcorpsdetexte"/>
        <w:bidi w:val="0"/>
        <w:spacing w:before="120" w:after="120" w:line="240" w:lineRule="auto"/>
        <w:ind w:right="-295"/>
        <w:rPr>
          <w:rFonts w:eastAsia="Arial Unicode MS"/>
          <w:sz w:val="22"/>
          <w:szCs w:val="22"/>
        </w:rPr>
      </w:pPr>
    </w:p>
    <w:p w:rsidR="00552924" w:rsidRDefault="00552924" w:rsidP="00552924">
      <w:pPr>
        <w:pStyle w:val="Retraitcorpsdetexte"/>
        <w:bidi w:val="0"/>
        <w:spacing w:before="120" w:after="120" w:line="240" w:lineRule="auto"/>
        <w:ind w:right="-295"/>
        <w:rPr>
          <w:rFonts w:eastAsia="Arial Unicode MS"/>
          <w:sz w:val="22"/>
          <w:szCs w:val="22"/>
        </w:rPr>
      </w:pPr>
    </w:p>
    <w:p w:rsidR="00552924" w:rsidRDefault="00552924" w:rsidP="00552924">
      <w:pPr>
        <w:pStyle w:val="Retraitcorpsdetexte"/>
        <w:bidi w:val="0"/>
        <w:spacing w:before="120" w:after="120" w:line="240" w:lineRule="auto"/>
        <w:ind w:right="-295"/>
        <w:rPr>
          <w:rFonts w:eastAsia="Arial Unicode MS"/>
          <w:sz w:val="22"/>
          <w:szCs w:val="22"/>
        </w:rPr>
      </w:pPr>
    </w:p>
    <w:p w:rsidR="0002472B" w:rsidRDefault="0002472B" w:rsidP="0002472B">
      <w:pPr>
        <w:pStyle w:val="Retraitcorpsdetexte"/>
        <w:bidi w:val="0"/>
        <w:spacing w:before="120" w:after="120" w:line="240" w:lineRule="auto"/>
        <w:ind w:right="-295"/>
        <w:rPr>
          <w:rFonts w:eastAsia="Arial Unicode MS"/>
          <w:sz w:val="22"/>
          <w:szCs w:val="22"/>
        </w:rPr>
      </w:pPr>
    </w:p>
    <w:p w:rsidR="00DF0AAD" w:rsidRPr="00A87EFE" w:rsidRDefault="00DF0AAD" w:rsidP="003170AB">
      <w:pPr>
        <w:pStyle w:val="Titre1"/>
        <w:numPr>
          <w:ilvl w:val="0"/>
          <w:numId w:val="4"/>
        </w:numPr>
        <w:tabs>
          <w:tab w:val="left" w:pos="4962"/>
        </w:tabs>
        <w:rPr>
          <w:rFonts w:asciiTheme="minorHAnsi" w:hAnsiTheme="minorHAnsi"/>
          <w:color w:val="984806" w:themeColor="accent6" w:themeShade="80"/>
        </w:rPr>
      </w:pPr>
      <w:bookmarkStart w:id="3" w:name="_Toc65354729"/>
      <w:bookmarkStart w:id="4" w:name="_Toc65354900"/>
      <w:bookmarkStart w:id="5" w:name="_Toc183085608"/>
      <w:r w:rsidRPr="00A87EFE">
        <w:rPr>
          <w:rFonts w:asciiTheme="minorHAnsi" w:hAnsiTheme="minorHAnsi"/>
          <w:color w:val="984806" w:themeColor="accent6" w:themeShade="80"/>
        </w:rPr>
        <w:lastRenderedPageBreak/>
        <w:t>Réforme de l’IPC</w:t>
      </w:r>
      <w:bookmarkEnd w:id="3"/>
      <w:bookmarkEnd w:id="4"/>
      <w:bookmarkEnd w:id="5"/>
    </w:p>
    <w:p w:rsidR="006666CB" w:rsidRDefault="006666CB" w:rsidP="006666CB">
      <w:pPr>
        <w:tabs>
          <w:tab w:val="left" w:pos="851"/>
        </w:tabs>
        <w:spacing w:after="0"/>
        <w:ind w:left="-567" w:firstLine="709"/>
        <w:jc w:val="both"/>
      </w:pPr>
    </w:p>
    <w:p w:rsidR="00DF0AAD" w:rsidRPr="000720AC" w:rsidRDefault="00DF0AAD" w:rsidP="006666CB">
      <w:pPr>
        <w:tabs>
          <w:tab w:val="left" w:pos="851"/>
        </w:tabs>
        <w:spacing w:after="0"/>
        <w:ind w:left="-567" w:firstLine="709"/>
        <w:jc w:val="both"/>
      </w:pPr>
      <w:r w:rsidRPr="000720AC">
        <w:t>En application du décret n° 2.19.1083 publié au Bulletin officiel n° 6880 du 7 mai 2020 fixant les éléments entrant dans la composition du nouvel indice des prix à la consommation base 2017 et qui abroge le décret n° 2.09.529 relatif à l’indice des prix à la consommation base 2006, le Haut-Commissariat au Plan a procédé à la publication du nouvel indice des prix à la consommation base 2017 à partir du 20 mai 2020.</w:t>
      </w:r>
    </w:p>
    <w:p w:rsidR="00DF0AAD" w:rsidRPr="000720AC" w:rsidRDefault="00DF0AAD" w:rsidP="00BC7FE8">
      <w:pPr>
        <w:pStyle w:val="Paragraphedeliste"/>
        <w:ind w:left="0"/>
        <w:jc w:val="both"/>
        <w:rPr>
          <w:rFonts w:ascii="Times New Roman" w:eastAsia="Times New Roman" w:hAnsi="Times New Roman"/>
        </w:rPr>
      </w:pPr>
    </w:p>
    <w:p w:rsidR="00DF0AAD" w:rsidRPr="00681498" w:rsidRDefault="00DF0AAD" w:rsidP="00D12D75">
      <w:pPr>
        <w:pStyle w:val="Paragraphedeliste"/>
        <w:ind w:left="-567" w:firstLine="708"/>
        <w:jc w:val="both"/>
      </w:pPr>
      <w:r w:rsidRPr="00681498">
        <w:t xml:space="preserve">Il est à rappeler que la réforme de l’indice des prix à la consommation s’impose en raison des changements, au cours des dernières années, des habitudes de consommations des ménages marocains et du développement de nouvelles approches méthodologiques en la matière. Elle a été rendue possible grâce à la disponibilité des données actualisées fournies par l’enquête sur la consommation et les dépenses des ménages réalisée en 2014 et par le recensement de la population et de l’habitat du 2014. </w:t>
      </w:r>
    </w:p>
    <w:p w:rsidR="00DF0AAD" w:rsidRPr="00681498" w:rsidRDefault="00DF0AAD" w:rsidP="00BC7FE8">
      <w:pPr>
        <w:pStyle w:val="Paragraphedeliste"/>
        <w:ind w:left="0" w:firstLine="708"/>
        <w:jc w:val="both"/>
      </w:pPr>
    </w:p>
    <w:p w:rsidR="00DF0AAD" w:rsidRPr="00681498" w:rsidRDefault="005D6325" w:rsidP="00D12D75">
      <w:pPr>
        <w:pStyle w:val="Paragraphedeliste"/>
        <w:ind w:left="-567" w:firstLine="708"/>
        <w:jc w:val="both"/>
        <w:rPr>
          <w:rtl/>
        </w:rPr>
      </w:pPr>
      <w:r>
        <w:t>La</w:t>
      </w:r>
      <w:r w:rsidRPr="00681498">
        <w:t xml:space="preserve"> réforme de 2017 est la 5</w:t>
      </w:r>
      <w:r w:rsidRPr="00020F52">
        <w:rPr>
          <w:vertAlign w:val="superscript"/>
        </w:rPr>
        <w:t>ème</w:t>
      </w:r>
      <w:r w:rsidR="00DF0AAD" w:rsidRPr="00681498">
        <w:t xml:space="preserve">génération des réformes des indices des prix à la consommation depuis l’indépendance du Maroc. Elle s’articule autour de plusieurs </w:t>
      </w:r>
      <w:r w:rsidR="003B202C" w:rsidRPr="00681498">
        <w:t>axes</w:t>
      </w:r>
      <w:r w:rsidR="003B202C" w:rsidRPr="00681498">
        <w:rPr>
          <w:rtl/>
        </w:rPr>
        <w:t>:</w:t>
      </w:r>
    </w:p>
    <w:p w:rsidR="00DF0AAD" w:rsidRPr="00681498" w:rsidRDefault="00DF0AAD" w:rsidP="00D12D75">
      <w:pPr>
        <w:pStyle w:val="Paragraphedeliste"/>
        <w:numPr>
          <w:ilvl w:val="0"/>
          <w:numId w:val="2"/>
        </w:numPr>
        <w:spacing w:after="0"/>
        <w:ind w:left="0"/>
        <w:jc w:val="both"/>
        <w:rPr>
          <w:rtl/>
        </w:rPr>
      </w:pPr>
      <w:r w:rsidRPr="00681498">
        <w:t>Sur le plan de la couverture géographique, le champ a été élargi pour couvrir 18 villes représentant toutes les régions du Royaume, au lieu de 17 villes précédemment.</w:t>
      </w:r>
    </w:p>
    <w:p w:rsidR="00DF0AAD" w:rsidRDefault="00DF0AAD" w:rsidP="00D12D75">
      <w:pPr>
        <w:pStyle w:val="Paragraphedeliste"/>
        <w:numPr>
          <w:ilvl w:val="0"/>
          <w:numId w:val="2"/>
        </w:numPr>
        <w:spacing w:after="0"/>
        <w:ind w:left="0"/>
        <w:jc w:val="both"/>
      </w:pPr>
      <w:r w:rsidRPr="00681498">
        <w:t xml:space="preserve">Actualisation et élargissement du panier de référence pour contenir 546 articles et 1391 variétés au lieu de 478 articles et 1067 variétés dans le panier de l’indice précédent. </w:t>
      </w:r>
    </w:p>
    <w:p w:rsidR="00D12D75" w:rsidRPr="00681498" w:rsidRDefault="00D12D75" w:rsidP="00D12D75">
      <w:pPr>
        <w:pStyle w:val="Paragraphedeliste"/>
        <w:numPr>
          <w:ilvl w:val="0"/>
          <w:numId w:val="2"/>
        </w:numPr>
        <w:spacing w:after="0"/>
        <w:ind w:left="0"/>
        <w:jc w:val="both"/>
      </w:pPr>
      <w:r w:rsidRPr="00681498">
        <w:t>Les pondérations des différents produits ont été également actualisées sur la base des nouvelles données sur les structures de la consommation.</w:t>
      </w:r>
    </w:p>
    <w:p w:rsidR="00DF0AAD" w:rsidRPr="00681498" w:rsidRDefault="00DF0AAD" w:rsidP="00D12D75">
      <w:pPr>
        <w:pStyle w:val="Paragraphedeliste"/>
        <w:numPr>
          <w:ilvl w:val="0"/>
          <w:numId w:val="2"/>
        </w:numPr>
        <w:ind w:left="0"/>
        <w:jc w:val="both"/>
      </w:pPr>
      <w:r w:rsidRPr="00681498">
        <w:t xml:space="preserve">Lors de cette réforme, le HCP a </w:t>
      </w:r>
      <w:r w:rsidR="00681498" w:rsidRPr="00681498">
        <w:t>adopté</w:t>
      </w:r>
      <w:r w:rsidRPr="00681498">
        <w:t xml:space="preserve"> la technique CAPI (</w:t>
      </w:r>
      <w:r w:rsidR="00A72096" w:rsidRPr="00681498">
        <w:t>Computer Assisted</w:t>
      </w:r>
      <w:r w:rsidRPr="00681498">
        <w:t xml:space="preserve"> Personnel Interview) ou (Interview Personnelle Assistée par Ordinateur) afin d'obtenir des informations sur le terrain, où le chercheur interroge face à face l’enquêté à l'aide d'une tablette, il lit les questions à l'écran, écrit les réponses au clavier et enregistre les réponses aux questions.  Parmi les avantages de cette </w:t>
      </w:r>
      <w:r w:rsidR="00A72096" w:rsidRPr="00681498">
        <w:t>technologie :</w:t>
      </w:r>
    </w:p>
    <w:p w:rsidR="00DF0AAD" w:rsidRPr="00681498" w:rsidRDefault="00DF0AAD" w:rsidP="00D12D75">
      <w:pPr>
        <w:pStyle w:val="Paragraphedeliste"/>
        <w:numPr>
          <w:ilvl w:val="0"/>
          <w:numId w:val="3"/>
        </w:numPr>
        <w:ind w:left="1418"/>
        <w:jc w:val="both"/>
      </w:pPr>
      <w:r w:rsidRPr="00681498">
        <w:t>Examen automatique des réponses, Test de Cohérence,</w:t>
      </w:r>
    </w:p>
    <w:p w:rsidR="00DF0AAD" w:rsidRPr="00681498" w:rsidRDefault="00DF0AAD" w:rsidP="00D12D75">
      <w:pPr>
        <w:pStyle w:val="Paragraphedeliste"/>
        <w:numPr>
          <w:ilvl w:val="0"/>
          <w:numId w:val="3"/>
        </w:numPr>
        <w:ind w:left="1418"/>
        <w:jc w:val="both"/>
      </w:pPr>
      <w:r w:rsidRPr="00681498">
        <w:t>Transmission instantanée de données via Wi-Fi,</w:t>
      </w:r>
    </w:p>
    <w:p w:rsidR="00DF0AAD" w:rsidRDefault="00DF0AAD" w:rsidP="00D12D75">
      <w:pPr>
        <w:pStyle w:val="Paragraphedeliste"/>
        <w:numPr>
          <w:ilvl w:val="0"/>
          <w:numId w:val="3"/>
        </w:numPr>
        <w:ind w:left="1418"/>
        <w:jc w:val="both"/>
      </w:pPr>
      <w:r w:rsidRPr="00681498">
        <w:t>Gagner du temps et réduire le risque d'erreurs.</w:t>
      </w:r>
    </w:p>
    <w:p w:rsidR="006B1064" w:rsidRPr="00A87EFE" w:rsidRDefault="00DB468A" w:rsidP="003170AB">
      <w:pPr>
        <w:pStyle w:val="Titre1"/>
        <w:numPr>
          <w:ilvl w:val="0"/>
          <w:numId w:val="4"/>
        </w:numPr>
        <w:rPr>
          <w:rFonts w:asciiTheme="minorHAnsi" w:hAnsiTheme="minorHAnsi"/>
          <w:color w:val="984806" w:themeColor="accent6" w:themeShade="80"/>
        </w:rPr>
      </w:pPr>
      <w:bookmarkStart w:id="6" w:name="_Toc183085609"/>
      <w:r w:rsidRPr="00A87EFE">
        <w:rPr>
          <w:rFonts w:asciiTheme="minorHAnsi" w:hAnsiTheme="minorHAnsi"/>
          <w:color w:val="984806" w:themeColor="accent6" w:themeShade="80"/>
        </w:rPr>
        <w:t>Définition et objectifs de l’IPC</w:t>
      </w:r>
      <w:bookmarkEnd w:id="6"/>
    </w:p>
    <w:p w:rsidR="00DB468A" w:rsidRPr="00A87EFE" w:rsidRDefault="0058071E" w:rsidP="003170AB">
      <w:pPr>
        <w:pStyle w:val="Titre2"/>
        <w:numPr>
          <w:ilvl w:val="0"/>
          <w:numId w:val="5"/>
        </w:numPr>
        <w:rPr>
          <w:rFonts w:asciiTheme="minorHAnsi" w:hAnsiTheme="minorHAnsi"/>
          <w:color w:val="E36C0A" w:themeColor="accent6" w:themeShade="BF"/>
        </w:rPr>
      </w:pPr>
      <w:bookmarkStart w:id="7" w:name="_Toc183085610"/>
      <w:r w:rsidRPr="00A87EFE">
        <w:rPr>
          <w:rFonts w:asciiTheme="minorHAnsi" w:hAnsiTheme="minorHAnsi"/>
          <w:color w:val="E36C0A" w:themeColor="accent6" w:themeShade="BF"/>
        </w:rPr>
        <w:t>Définition</w:t>
      </w:r>
      <w:bookmarkEnd w:id="7"/>
    </w:p>
    <w:p w:rsidR="00DB468A" w:rsidRDefault="00D12D75" w:rsidP="003B202C">
      <w:pPr>
        <w:tabs>
          <w:tab w:val="left" w:pos="-567"/>
        </w:tabs>
        <w:spacing w:before="120" w:after="120"/>
        <w:ind w:left="-567" w:right="141"/>
        <w:jc w:val="both"/>
        <w:rPr>
          <w:rFonts w:eastAsia="Arial Unicode MS"/>
        </w:rPr>
      </w:pPr>
      <w:r>
        <w:tab/>
      </w:r>
      <w:r w:rsidR="00DB468A" w:rsidRPr="00CE6408">
        <w:t xml:space="preserve">L’Indice des Prix à la Consommation </w:t>
      </w:r>
      <w:r w:rsidR="00DB468A">
        <w:t xml:space="preserve">est un indicateur social et économique couramment utilisé pour mesurer les variations dans le temps et dans l’espace du niveau général des prix des biens et services acquis ou utilisés par les ménages pour la </w:t>
      </w:r>
      <w:r w:rsidR="005756EC">
        <w:t>consommation.</w:t>
      </w:r>
      <w:r w:rsidR="005756EC" w:rsidRPr="00CE6408">
        <w:rPr>
          <w:rFonts w:eastAsia="Arial Unicode MS"/>
        </w:rPr>
        <w:t xml:space="preserve"> C’</w:t>
      </w:r>
      <w:r w:rsidR="00DB468A" w:rsidRPr="00CE6408">
        <w:rPr>
          <w:rFonts w:eastAsia="Arial Unicode MS"/>
        </w:rPr>
        <w:t>est une mesure synthétique des évolutions des prix de détail.</w:t>
      </w:r>
    </w:p>
    <w:p w:rsidR="0058071E" w:rsidRPr="00A87EFE" w:rsidRDefault="001B50EE" w:rsidP="003170AB">
      <w:pPr>
        <w:pStyle w:val="Titre2"/>
        <w:numPr>
          <w:ilvl w:val="0"/>
          <w:numId w:val="5"/>
        </w:numPr>
        <w:rPr>
          <w:rFonts w:asciiTheme="minorHAnsi" w:hAnsiTheme="minorHAnsi"/>
          <w:color w:val="E36C0A" w:themeColor="accent6" w:themeShade="BF"/>
        </w:rPr>
      </w:pPr>
      <w:bookmarkStart w:id="8" w:name="_Toc183085611"/>
      <w:r w:rsidRPr="00A87EFE">
        <w:rPr>
          <w:rFonts w:asciiTheme="minorHAnsi" w:hAnsiTheme="minorHAnsi"/>
          <w:color w:val="E36C0A" w:themeColor="accent6" w:themeShade="BF"/>
        </w:rPr>
        <w:t>Objectifs</w:t>
      </w:r>
      <w:bookmarkEnd w:id="8"/>
    </w:p>
    <w:p w:rsidR="0058071E" w:rsidRDefault="0058071E" w:rsidP="00D12D75">
      <w:pPr>
        <w:spacing w:before="120" w:after="120"/>
        <w:ind w:left="-567" w:right="-295" w:firstLine="425"/>
        <w:jc w:val="both"/>
      </w:pPr>
      <w:r>
        <w:t>L’Indice</w:t>
      </w:r>
      <w:r w:rsidRPr="00CE6408">
        <w:t>des Prix à la Consommation</w:t>
      </w:r>
      <w:r>
        <w:t xml:space="preserve"> sert à des fins très diverses, telles que :</w:t>
      </w:r>
    </w:p>
    <w:p w:rsidR="0058071E" w:rsidRPr="0058071E" w:rsidRDefault="0058071E" w:rsidP="00D12D75">
      <w:pPr>
        <w:pStyle w:val="Paragraphedeliste"/>
        <w:numPr>
          <w:ilvl w:val="1"/>
          <w:numId w:val="6"/>
        </w:numPr>
        <w:spacing w:before="120" w:after="120"/>
        <w:ind w:left="0" w:right="-295" w:hanging="293"/>
        <w:jc w:val="both"/>
      </w:pPr>
      <w:r w:rsidRPr="0058071E">
        <w:t>Mesurer la variation relative entre deux périodes des prix de détail ;</w:t>
      </w:r>
    </w:p>
    <w:p w:rsidR="0058071E" w:rsidRPr="0058071E" w:rsidRDefault="0058071E" w:rsidP="00D12D75">
      <w:pPr>
        <w:pStyle w:val="Paragraphedeliste"/>
        <w:numPr>
          <w:ilvl w:val="1"/>
          <w:numId w:val="6"/>
        </w:numPr>
        <w:spacing w:before="120" w:after="120"/>
        <w:ind w:left="0" w:right="-295" w:hanging="293"/>
        <w:jc w:val="both"/>
      </w:pPr>
      <w:r w:rsidRPr="0058071E">
        <w:t>Fournir une mesure moyenne de l’inflation de l’ensemble de l’économie ;</w:t>
      </w:r>
    </w:p>
    <w:p w:rsidR="0058071E" w:rsidRPr="0058071E" w:rsidRDefault="0058071E" w:rsidP="00D12D75">
      <w:pPr>
        <w:pStyle w:val="Paragraphedeliste"/>
        <w:numPr>
          <w:ilvl w:val="1"/>
          <w:numId w:val="6"/>
        </w:numPr>
        <w:spacing w:before="120" w:after="120"/>
        <w:ind w:left="0" w:right="-295" w:hanging="293"/>
        <w:jc w:val="both"/>
      </w:pPr>
      <w:r w:rsidRPr="0058071E">
        <w:t>Elaborer et évaluer la politique monétaire et fiscale, ainsi que les politiques commerciales et le taux de change ;</w:t>
      </w:r>
    </w:p>
    <w:p w:rsidR="0058071E" w:rsidRDefault="003B202C" w:rsidP="00D12D75">
      <w:pPr>
        <w:pStyle w:val="Paragraphedeliste"/>
        <w:numPr>
          <w:ilvl w:val="1"/>
          <w:numId w:val="6"/>
        </w:numPr>
        <w:spacing w:before="120" w:after="120"/>
        <w:ind w:left="0" w:right="-295" w:hanging="293"/>
        <w:jc w:val="both"/>
      </w:pPr>
      <w:r w:rsidRPr="0058071E">
        <w:t>Analyser la</w:t>
      </w:r>
      <w:r w:rsidR="0058071E" w:rsidRPr="0058071E">
        <w:t xml:space="preserve"> conjoncture économique et </w:t>
      </w:r>
      <w:r w:rsidR="00552924" w:rsidRPr="0058071E">
        <w:t>actualiser les</w:t>
      </w:r>
      <w:r w:rsidR="0058071E" w:rsidRPr="0058071E">
        <w:t xml:space="preserve"> différentes séries et agrégats économiques</w:t>
      </w:r>
      <w:r w:rsidR="0058071E" w:rsidRPr="00CE6408">
        <w:t>.</w:t>
      </w:r>
    </w:p>
    <w:p w:rsidR="00B60F85" w:rsidRPr="00A87EFE" w:rsidRDefault="00B60F85" w:rsidP="00A72096">
      <w:pPr>
        <w:pStyle w:val="TitreI"/>
        <w:numPr>
          <w:ilvl w:val="0"/>
          <w:numId w:val="4"/>
        </w:numPr>
        <w:rPr>
          <w:rFonts w:asciiTheme="minorHAnsi" w:hAnsiTheme="minorHAnsi"/>
          <w:color w:val="984806" w:themeColor="accent6" w:themeShade="80"/>
        </w:rPr>
      </w:pPr>
      <w:bookmarkStart w:id="9" w:name="_Toc183085612"/>
      <w:r w:rsidRPr="00A87EFE">
        <w:rPr>
          <w:rFonts w:asciiTheme="minorHAnsi" w:hAnsiTheme="minorHAnsi"/>
          <w:color w:val="984806" w:themeColor="accent6" w:themeShade="80"/>
        </w:rPr>
        <w:lastRenderedPageBreak/>
        <w:t xml:space="preserve">Evolution de l’IPC durant l’année </w:t>
      </w:r>
      <w:r w:rsidR="00A72096">
        <w:rPr>
          <w:rFonts w:asciiTheme="minorHAnsi" w:hAnsiTheme="minorHAnsi"/>
          <w:color w:val="984806" w:themeColor="accent6" w:themeShade="80"/>
        </w:rPr>
        <w:t>2022</w:t>
      </w:r>
      <w:bookmarkEnd w:id="9"/>
    </w:p>
    <w:p w:rsidR="00B60F85" w:rsidRPr="00A87EFE" w:rsidRDefault="00B60F85" w:rsidP="00167285">
      <w:pPr>
        <w:pStyle w:val="Titre2"/>
        <w:numPr>
          <w:ilvl w:val="0"/>
          <w:numId w:val="10"/>
        </w:numPr>
        <w:ind w:left="709"/>
        <w:rPr>
          <w:rFonts w:asciiTheme="minorHAnsi" w:hAnsiTheme="minorHAnsi"/>
          <w:color w:val="E36C0A" w:themeColor="accent6" w:themeShade="BF"/>
        </w:rPr>
      </w:pPr>
      <w:bookmarkStart w:id="10" w:name="_Toc183085613"/>
      <w:r w:rsidRPr="00A87EFE">
        <w:rPr>
          <w:rFonts w:asciiTheme="minorHAnsi" w:hAnsiTheme="minorHAnsi"/>
          <w:color w:val="E36C0A" w:themeColor="accent6" w:themeShade="BF"/>
        </w:rPr>
        <w:t xml:space="preserve">Evolution mensuelle de l’indice </w:t>
      </w:r>
      <w:r w:rsidR="00167285">
        <w:rPr>
          <w:rFonts w:asciiTheme="minorHAnsi" w:hAnsiTheme="minorHAnsi"/>
          <w:color w:val="E36C0A" w:themeColor="accent6" w:themeShade="BF"/>
        </w:rPr>
        <w:t xml:space="preserve">de la ville de </w:t>
      </w:r>
      <w:r w:rsidR="00CC35F4" w:rsidRPr="00A87EFE">
        <w:rPr>
          <w:rFonts w:asciiTheme="minorHAnsi" w:hAnsiTheme="minorHAnsi"/>
          <w:color w:val="E36C0A" w:themeColor="accent6" w:themeShade="BF"/>
        </w:rPr>
        <w:t>Rabat</w:t>
      </w:r>
      <w:r w:rsidR="000B469B" w:rsidRPr="00A87EFE">
        <w:rPr>
          <w:rFonts w:asciiTheme="minorHAnsi" w:hAnsiTheme="minorHAnsi"/>
          <w:color w:val="E36C0A" w:themeColor="accent6" w:themeShade="BF"/>
        </w:rPr>
        <w:t xml:space="preserve"> et </w:t>
      </w:r>
      <w:r w:rsidR="000B469B">
        <w:rPr>
          <w:rFonts w:asciiTheme="minorHAnsi" w:hAnsiTheme="minorHAnsi"/>
          <w:color w:val="E36C0A" w:themeColor="accent6" w:themeShade="BF"/>
        </w:rPr>
        <w:t>de celui du National</w:t>
      </w:r>
      <w:bookmarkEnd w:id="10"/>
    </w:p>
    <w:p w:rsidR="00E0012D" w:rsidRDefault="00E0012D" w:rsidP="00E0012D">
      <w:pPr>
        <w:tabs>
          <w:tab w:val="left" w:pos="-567"/>
        </w:tabs>
        <w:spacing w:before="240" w:after="240"/>
        <w:ind w:left="-567" w:right="-142" w:firstLine="567"/>
        <w:rPr>
          <w:sz w:val="18"/>
          <w:szCs w:val="18"/>
        </w:rPr>
      </w:pPr>
      <w:r w:rsidRPr="001B2C36">
        <w:rPr>
          <w:b/>
          <w:bCs/>
          <w:noProof/>
          <w:shd w:val="clear" w:color="auto" w:fill="FDE9D9" w:themeFill="accent6" w:themeFillTint="33"/>
        </w:rPr>
        <w:drawing>
          <wp:inline distT="0" distB="0" distL="0" distR="0">
            <wp:extent cx="5964072" cy="3591560"/>
            <wp:effectExtent l="0" t="0" r="17780" b="8890"/>
            <wp:docPr id="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012D" w:rsidRDefault="00E0012D" w:rsidP="00D44902">
      <w:pPr>
        <w:ind w:right="1134"/>
        <w:jc w:val="right"/>
        <w:rPr>
          <w:b/>
          <w:bCs/>
          <w:sz w:val="16"/>
          <w:szCs w:val="16"/>
        </w:rPr>
      </w:pPr>
      <w:r w:rsidRPr="00294648">
        <w:rPr>
          <w:b/>
          <w:bCs/>
          <w:sz w:val="16"/>
          <w:szCs w:val="16"/>
        </w:rPr>
        <w:t>Source : HCP</w:t>
      </w:r>
    </w:p>
    <w:p w:rsidR="0039493D" w:rsidRPr="0039493D" w:rsidRDefault="00245F46" w:rsidP="009748E4">
      <w:pPr>
        <w:tabs>
          <w:tab w:val="left" w:pos="-567"/>
        </w:tabs>
        <w:spacing w:before="240" w:after="240"/>
        <w:ind w:left="-567" w:firstLine="709"/>
        <w:jc w:val="both"/>
      </w:pPr>
      <w:r>
        <w:t xml:space="preserve">Au cours de l’année </w:t>
      </w:r>
      <w:r w:rsidR="009427C9">
        <w:t>2022</w:t>
      </w:r>
      <w:r w:rsidR="000551B7">
        <w:t xml:space="preserve">, l’indice des prix à la </w:t>
      </w:r>
      <w:r w:rsidR="002277D7">
        <w:t xml:space="preserve">consommation </w:t>
      </w:r>
      <w:r>
        <w:t xml:space="preserve">a </w:t>
      </w:r>
      <w:r w:rsidR="002277D7">
        <w:t>passé</w:t>
      </w:r>
      <w:r w:rsidR="008E7BFB">
        <w:t xml:space="preserve"> de </w:t>
      </w:r>
      <w:r w:rsidR="009427C9">
        <w:t>105</w:t>
      </w:r>
      <w:r w:rsidR="008E7BFB">
        <w:t>,</w:t>
      </w:r>
      <w:r w:rsidR="009427C9">
        <w:t>1</w:t>
      </w:r>
      <w:r w:rsidR="008E7BFB">
        <w:t xml:space="preserve"> point</w:t>
      </w:r>
      <w:r w:rsidR="001F02B0">
        <w:t xml:space="preserve"> en janvier à </w:t>
      </w:r>
      <w:r w:rsidR="009427C9">
        <w:t>112</w:t>
      </w:r>
      <w:r w:rsidR="001F02B0">
        <w:t>,</w:t>
      </w:r>
      <w:r w:rsidR="009427C9">
        <w:t>8</w:t>
      </w:r>
      <w:r w:rsidR="001F02B0">
        <w:t xml:space="preserve"> en décembre </w:t>
      </w:r>
      <w:r w:rsidR="009427C9">
        <w:t>2022</w:t>
      </w:r>
      <w:r w:rsidR="001F02B0">
        <w:t xml:space="preserve">contre </w:t>
      </w:r>
      <w:r w:rsidR="008E7BFB">
        <w:t xml:space="preserve">respectivement </w:t>
      </w:r>
      <w:r w:rsidR="009427C9">
        <w:t>105</w:t>
      </w:r>
      <w:r w:rsidR="001F02B0">
        <w:t>,</w:t>
      </w:r>
      <w:r w:rsidR="009427C9">
        <w:t>5</w:t>
      </w:r>
      <w:r w:rsidR="001F02B0">
        <w:t xml:space="preserve"> et </w:t>
      </w:r>
      <w:r w:rsidR="009427C9">
        <w:t>114</w:t>
      </w:r>
      <w:r w:rsidR="001F02B0">
        <w:t>,</w:t>
      </w:r>
      <w:r w:rsidR="009427C9">
        <w:t>3</w:t>
      </w:r>
      <w:r w:rsidR="00EE684D">
        <w:t xml:space="preserve"> point</w:t>
      </w:r>
      <w:r w:rsidR="001F02B0">
        <w:t xml:space="preserve"> à l’échelle nationale</w:t>
      </w:r>
      <w:r w:rsidR="006F28A2">
        <w:t xml:space="preserve">. Cette variation s’est effectuée dans une </w:t>
      </w:r>
      <w:r w:rsidR="00E65B9E" w:rsidRPr="0039493D">
        <w:t xml:space="preserve">fourchette </w:t>
      </w:r>
      <w:r w:rsidR="006F28A2">
        <w:t xml:space="preserve">allant </w:t>
      </w:r>
      <w:r w:rsidR="00E65B9E" w:rsidRPr="0039493D">
        <w:t xml:space="preserve">d’un minimum de </w:t>
      </w:r>
      <w:r w:rsidR="009748E4">
        <w:t>105</w:t>
      </w:r>
      <w:r w:rsidR="008E7BFB" w:rsidRPr="0039493D">
        <w:t>,</w:t>
      </w:r>
      <w:r w:rsidR="009748E4">
        <w:t>1</w:t>
      </w:r>
      <w:r w:rsidR="008E7BFB" w:rsidRPr="0039493D">
        <w:t xml:space="preserve"> point au cours de</w:t>
      </w:r>
      <w:r w:rsidR="00406318">
        <w:t>s</w:t>
      </w:r>
      <w:r w:rsidR="008E7BFB" w:rsidRPr="0039493D">
        <w:t xml:space="preserve"> mois de </w:t>
      </w:r>
      <w:r w:rsidR="00406318">
        <w:t xml:space="preserve">janvier </w:t>
      </w:r>
      <w:r w:rsidR="006F28A2">
        <w:t>à un</w:t>
      </w:r>
      <w:r w:rsidR="008E7BFB" w:rsidRPr="0039493D">
        <w:t xml:space="preserve"> maximum de </w:t>
      </w:r>
      <w:r w:rsidR="009748E4">
        <w:t>112</w:t>
      </w:r>
      <w:r w:rsidR="008E7BFB" w:rsidRPr="0039493D">
        <w:t>,</w:t>
      </w:r>
      <w:r w:rsidR="009748E4">
        <w:t>9</w:t>
      </w:r>
      <w:r w:rsidR="009975E4">
        <w:t xml:space="preserve"> point atteint au mois</w:t>
      </w:r>
      <w:r w:rsidR="009748E4">
        <w:t xml:space="preserve"> novembre</w:t>
      </w:r>
      <w:r w:rsidR="008E7BFB" w:rsidRPr="0039493D">
        <w:t>.</w:t>
      </w:r>
    </w:p>
    <w:p w:rsidR="001F02B0" w:rsidRPr="0039493D" w:rsidRDefault="00204D08" w:rsidP="00CD3886">
      <w:pPr>
        <w:tabs>
          <w:tab w:val="left" w:pos="-567"/>
        </w:tabs>
        <w:spacing w:before="240" w:after="240"/>
        <w:ind w:left="-567" w:firstLine="709"/>
        <w:jc w:val="both"/>
      </w:pPr>
      <w:r w:rsidRPr="0039493D">
        <w:t xml:space="preserve">Pour les taux de variation, quant à eux, ils ont oscillé entre </w:t>
      </w:r>
      <w:r w:rsidR="00CC35F4">
        <w:t>0</w:t>
      </w:r>
      <w:r w:rsidR="00540769" w:rsidRPr="0039493D">
        <w:t>,</w:t>
      </w:r>
      <w:r w:rsidR="009748E4">
        <w:t>1</w:t>
      </w:r>
      <w:r w:rsidR="00540769" w:rsidRPr="0039493D">
        <w:t xml:space="preserve">% au début de l’année </w:t>
      </w:r>
      <w:r w:rsidR="00475EC8">
        <w:t>et-0,1%au mois de décembre</w:t>
      </w:r>
      <w:r w:rsidR="00EE684D">
        <w:t>,</w:t>
      </w:r>
      <w:r w:rsidR="00540769" w:rsidRPr="0039493D">
        <w:t xml:space="preserve"> contre </w:t>
      </w:r>
      <w:r w:rsidR="00CC35F4">
        <w:t>0</w:t>
      </w:r>
      <w:r w:rsidR="00540769" w:rsidRPr="0039493D">
        <w:t>,</w:t>
      </w:r>
      <w:r w:rsidR="00475EC8">
        <w:t>0</w:t>
      </w:r>
      <w:r w:rsidR="00540769" w:rsidRPr="0039493D">
        <w:t xml:space="preserve">% </w:t>
      </w:r>
      <w:r w:rsidR="00475EC8">
        <w:t>et 0,1%</w:t>
      </w:r>
      <w:r w:rsidR="00540769" w:rsidRPr="0039493D">
        <w:t xml:space="preserve"> au niveau national. </w:t>
      </w:r>
      <w:r w:rsidR="001F02B0">
        <w:t xml:space="preserve">En effet, cette évolution a été caractérisée par des fluctuations cycliques irrégulières avec une tendance modérée à la hausse, marquée par des baisses </w:t>
      </w:r>
      <w:r w:rsidR="00CC35F4">
        <w:t>remarquables enregistrées</w:t>
      </w:r>
      <w:r w:rsidR="00CD3886">
        <w:t xml:space="preserve"> durant les mois d’</w:t>
      </w:r>
      <w:r w:rsidR="00805C66">
        <w:t xml:space="preserve">août </w:t>
      </w:r>
      <w:r w:rsidR="00CD3886">
        <w:t xml:space="preserve">et décembre </w:t>
      </w:r>
      <w:r w:rsidR="00DC603C">
        <w:t xml:space="preserve">de 0,5% et 0,4% </w:t>
      </w:r>
      <w:r w:rsidR="00805C66">
        <w:t>pour la ville de Rabat</w:t>
      </w:r>
      <w:r w:rsidR="001F02B0">
        <w:t>.</w:t>
      </w:r>
    </w:p>
    <w:p w:rsidR="001F02B0" w:rsidRDefault="00DA646B" w:rsidP="00A4646C">
      <w:pPr>
        <w:tabs>
          <w:tab w:val="left" w:pos="-567"/>
        </w:tabs>
        <w:spacing w:before="240" w:after="240"/>
        <w:ind w:left="-567" w:firstLine="709"/>
        <w:jc w:val="both"/>
      </w:pPr>
      <w:r w:rsidRPr="00E30440">
        <w:t xml:space="preserve">En terme d’écarts absolus, </w:t>
      </w:r>
      <w:r>
        <w:t xml:space="preserve">le niveau mensuel de l’IPC général de la ville </w:t>
      </w:r>
      <w:r w:rsidR="00CC35F4">
        <w:t>de Rabat</w:t>
      </w:r>
      <w:r>
        <w:t xml:space="preserve"> durant l’a</w:t>
      </w:r>
      <w:r w:rsidR="0039493D">
        <w:t xml:space="preserve">nnée </w:t>
      </w:r>
      <w:r w:rsidR="00DC603C">
        <w:t>2022</w:t>
      </w:r>
      <w:r w:rsidR="00A4646C">
        <w:t xml:space="preserve">reste globalement en dessous de </w:t>
      </w:r>
      <w:r w:rsidR="00F17EFD">
        <w:t>celui atteint au niveau n</w:t>
      </w:r>
      <w:r>
        <w:t>ational avec des écarts vari</w:t>
      </w:r>
      <w:r w:rsidR="001415D9">
        <w:t>e</w:t>
      </w:r>
      <w:r>
        <w:t xml:space="preserve">nt dans une fourchette </w:t>
      </w:r>
      <w:r w:rsidR="001415D9">
        <w:t xml:space="preserve">allant </w:t>
      </w:r>
      <w:r w:rsidR="00DC603C">
        <w:t xml:space="preserve">d’un minimum de </w:t>
      </w:r>
      <w:r>
        <w:t>0,</w:t>
      </w:r>
      <w:r w:rsidR="00DC603C">
        <w:t>3</w:t>
      </w:r>
      <w:r>
        <w:t xml:space="preserve"> points enregistré au cours de</w:t>
      </w:r>
      <w:r w:rsidR="00CC35F4">
        <w:t>s</w:t>
      </w:r>
      <w:r>
        <w:t xml:space="preserve"> mois de </w:t>
      </w:r>
      <w:r w:rsidR="00DC603C">
        <w:t>février</w:t>
      </w:r>
      <w:r w:rsidR="001415D9">
        <w:t xml:space="preserve">à </w:t>
      </w:r>
      <w:r w:rsidR="00CC35F4">
        <w:t>un maximum</w:t>
      </w:r>
      <w:r>
        <w:t xml:space="preserve"> de </w:t>
      </w:r>
      <w:r w:rsidR="00DC603C">
        <w:t>1</w:t>
      </w:r>
      <w:r>
        <w:t>,</w:t>
      </w:r>
      <w:r w:rsidR="00CC35F4">
        <w:t>5</w:t>
      </w:r>
      <w:r>
        <w:t xml:space="preserve"> points enregistré au cours de mois de </w:t>
      </w:r>
      <w:r w:rsidR="00CC35F4">
        <w:t>décembre</w:t>
      </w:r>
      <w:r w:rsidR="00A4646C">
        <w:t xml:space="preserve"> 2022</w:t>
      </w:r>
      <w:r>
        <w:t>(</w:t>
      </w:r>
      <w:r w:rsidR="00552924">
        <w:t>f</w:t>
      </w:r>
      <w:r>
        <w:t xml:space="preserve">igure 1). </w:t>
      </w:r>
    </w:p>
    <w:p w:rsidR="00911DD8" w:rsidRDefault="00911DD8" w:rsidP="001415D9">
      <w:pPr>
        <w:tabs>
          <w:tab w:val="left" w:pos="-567"/>
        </w:tabs>
        <w:spacing w:before="240" w:after="240"/>
        <w:ind w:left="-567" w:firstLine="709"/>
        <w:jc w:val="both"/>
      </w:pPr>
    </w:p>
    <w:p w:rsidR="00E725EB" w:rsidRDefault="00E725EB" w:rsidP="001415D9">
      <w:pPr>
        <w:tabs>
          <w:tab w:val="left" w:pos="-567"/>
        </w:tabs>
        <w:spacing w:before="240" w:after="240"/>
        <w:ind w:left="-567" w:firstLine="709"/>
        <w:jc w:val="both"/>
      </w:pPr>
    </w:p>
    <w:p w:rsidR="00BD1AB1" w:rsidRDefault="00BD1AB1" w:rsidP="00D12D75">
      <w:pPr>
        <w:tabs>
          <w:tab w:val="left" w:pos="-567"/>
        </w:tabs>
        <w:spacing w:before="240" w:after="240"/>
        <w:ind w:left="-567" w:firstLine="709"/>
        <w:jc w:val="both"/>
        <w:rPr>
          <w:sz w:val="6"/>
          <w:szCs w:val="6"/>
        </w:rPr>
      </w:pPr>
    </w:p>
    <w:p w:rsidR="00E83C68" w:rsidRDefault="00E83C68" w:rsidP="00D12D75">
      <w:pPr>
        <w:tabs>
          <w:tab w:val="left" w:pos="-567"/>
        </w:tabs>
        <w:spacing w:before="240" w:after="240"/>
        <w:ind w:left="-567" w:firstLine="709"/>
        <w:jc w:val="both"/>
        <w:rPr>
          <w:sz w:val="6"/>
          <w:szCs w:val="6"/>
        </w:rPr>
      </w:pPr>
    </w:p>
    <w:p w:rsidR="00A4646C" w:rsidRPr="00A4646C" w:rsidRDefault="00A4646C" w:rsidP="00D12D75">
      <w:pPr>
        <w:tabs>
          <w:tab w:val="left" w:pos="-567"/>
        </w:tabs>
        <w:spacing w:before="240" w:after="240"/>
        <w:ind w:left="-567" w:firstLine="709"/>
        <w:jc w:val="both"/>
        <w:rPr>
          <w:sz w:val="6"/>
          <w:szCs w:val="6"/>
        </w:rPr>
      </w:pPr>
    </w:p>
    <w:p w:rsidR="00E725EB" w:rsidRDefault="00E725EB" w:rsidP="00552924">
      <w:pPr>
        <w:ind w:right="1134"/>
        <w:jc w:val="right"/>
        <w:rPr>
          <w:b/>
          <w:bCs/>
          <w:sz w:val="16"/>
          <w:szCs w:val="16"/>
        </w:rPr>
      </w:pPr>
    </w:p>
    <w:p w:rsidR="00E725EB" w:rsidRDefault="00E725EB" w:rsidP="00552924">
      <w:pPr>
        <w:ind w:right="1134"/>
        <w:jc w:val="right"/>
        <w:rPr>
          <w:b/>
          <w:bCs/>
          <w:sz w:val="16"/>
          <w:szCs w:val="16"/>
        </w:rPr>
      </w:pPr>
    </w:p>
    <w:p w:rsidR="00E725EB" w:rsidRPr="00294648" w:rsidRDefault="00E725EB" w:rsidP="00552924">
      <w:pPr>
        <w:ind w:right="1134"/>
        <w:jc w:val="right"/>
        <w:rPr>
          <w:b/>
          <w:bCs/>
          <w:sz w:val="16"/>
          <w:szCs w:val="16"/>
        </w:rPr>
      </w:pPr>
    </w:p>
    <w:p w:rsidR="0088122D" w:rsidRDefault="0088122D" w:rsidP="00305016">
      <w:pPr>
        <w:pStyle w:val="Titre2"/>
        <w:numPr>
          <w:ilvl w:val="0"/>
          <w:numId w:val="10"/>
        </w:numPr>
        <w:rPr>
          <w:rFonts w:asciiTheme="minorHAnsi" w:hAnsiTheme="minorHAnsi"/>
          <w:color w:val="E36C0A" w:themeColor="accent6" w:themeShade="BF"/>
        </w:rPr>
      </w:pPr>
      <w:bookmarkStart w:id="11" w:name="_Toc183085614"/>
      <w:r w:rsidRPr="00A87EFE">
        <w:rPr>
          <w:rFonts w:asciiTheme="minorHAnsi" w:hAnsiTheme="minorHAnsi"/>
          <w:color w:val="E36C0A" w:themeColor="accent6" w:themeShade="BF"/>
        </w:rPr>
        <w:t xml:space="preserve">Evolution mensuelle </w:t>
      </w:r>
      <w:r>
        <w:rPr>
          <w:rFonts w:asciiTheme="minorHAnsi" w:hAnsiTheme="minorHAnsi"/>
          <w:color w:val="E36C0A" w:themeColor="accent6" w:themeShade="BF"/>
        </w:rPr>
        <w:t xml:space="preserve">de l’IPC à Rabat </w:t>
      </w:r>
      <w:r w:rsidR="00305016">
        <w:rPr>
          <w:rFonts w:asciiTheme="minorHAnsi" w:hAnsiTheme="minorHAnsi"/>
          <w:color w:val="E36C0A" w:themeColor="accent6" w:themeShade="BF"/>
        </w:rPr>
        <w:t>2021</w:t>
      </w:r>
      <w:r>
        <w:rPr>
          <w:rFonts w:asciiTheme="minorHAnsi" w:hAnsiTheme="minorHAnsi"/>
          <w:color w:val="E36C0A" w:themeColor="accent6" w:themeShade="BF"/>
        </w:rPr>
        <w:t>-</w:t>
      </w:r>
      <w:r w:rsidR="00305016">
        <w:rPr>
          <w:rFonts w:asciiTheme="minorHAnsi" w:hAnsiTheme="minorHAnsi"/>
          <w:color w:val="E36C0A" w:themeColor="accent6" w:themeShade="BF"/>
        </w:rPr>
        <w:t>2022</w:t>
      </w:r>
      <w:bookmarkEnd w:id="11"/>
    </w:p>
    <w:p w:rsidR="0088122D" w:rsidRDefault="0088122D" w:rsidP="0088122D">
      <w:pPr>
        <w:pStyle w:val="Paragraphedeliste"/>
        <w:ind w:left="360"/>
        <w:jc w:val="both"/>
        <w:rPr>
          <w:lang w:val="fr-MA"/>
        </w:rPr>
      </w:pPr>
    </w:p>
    <w:p w:rsidR="00314CCC" w:rsidRDefault="00314CCC" w:rsidP="003167AA">
      <w:pPr>
        <w:pStyle w:val="Paragraphedeliste"/>
        <w:tabs>
          <w:tab w:val="left" w:pos="9639"/>
        </w:tabs>
        <w:ind w:left="-567" w:firstLine="567"/>
        <w:jc w:val="both"/>
        <w:rPr>
          <w:sz w:val="12"/>
          <w:szCs w:val="12"/>
          <w:lang w:val="fr-MA"/>
        </w:rPr>
      </w:pPr>
      <w:r w:rsidRPr="002943C9">
        <w:rPr>
          <w:b/>
          <w:bCs/>
          <w:noProof/>
          <w:sz w:val="20"/>
          <w:szCs w:val="20"/>
          <w:shd w:val="clear" w:color="auto" w:fill="FDE9D9" w:themeFill="accent6" w:themeFillTint="33"/>
        </w:rPr>
        <w:drawing>
          <wp:inline distT="0" distB="0" distL="0" distR="0">
            <wp:extent cx="6248400" cy="3648075"/>
            <wp:effectExtent l="0" t="0" r="0" b="9525"/>
            <wp:docPr id="29"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3C68" w:rsidRPr="00E83C68" w:rsidRDefault="00E83C68" w:rsidP="00E83C68">
      <w:pPr>
        <w:pStyle w:val="Paragraphedeliste"/>
        <w:tabs>
          <w:tab w:val="left" w:pos="9639"/>
        </w:tabs>
        <w:ind w:left="-567" w:right="425" w:firstLine="709"/>
        <w:jc w:val="center"/>
        <w:rPr>
          <w:b/>
          <w:bCs/>
          <w:sz w:val="12"/>
          <w:szCs w:val="12"/>
          <w:lang w:val="fr-MA"/>
        </w:rPr>
      </w:pPr>
      <w:r w:rsidRPr="00E83C68">
        <w:rPr>
          <w:b/>
          <w:bCs/>
          <w:sz w:val="16"/>
          <w:szCs w:val="16"/>
          <w:lang w:val="fr-MA"/>
        </w:rPr>
        <w:t>Source : HCP</w:t>
      </w:r>
    </w:p>
    <w:p w:rsidR="00314CCC" w:rsidRDefault="00314CCC" w:rsidP="00525E6E">
      <w:pPr>
        <w:pStyle w:val="Paragraphedeliste"/>
        <w:ind w:left="-567" w:firstLine="709"/>
        <w:jc w:val="both"/>
        <w:rPr>
          <w:lang w:val="fr-MA"/>
        </w:rPr>
      </w:pPr>
    </w:p>
    <w:p w:rsidR="00314CCC" w:rsidRDefault="00314CCC" w:rsidP="00525E6E">
      <w:pPr>
        <w:pStyle w:val="Paragraphedeliste"/>
        <w:ind w:left="-567" w:firstLine="709"/>
        <w:jc w:val="both"/>
        <w:rPr>
          <w:lang w:val="fr-MA"/>
        </w:rPr>
      </w:pPr>
    </w:p>
    <w:p w:rsidR="0088122D" w:rsidRPr="0088122D" w:rsidRDefault="0088122D" w:rsidP="009B6204">
      <w:pPr>
        <w:pStyle w:val="Paragraphedeliste"/>
        <w:ind w:left="-567" w:firstLine="709"/>
        <w:jc w:val="both"/>
        <w:rPr>
          <w:lang w:val="fr-MA"/>
        </w:rPr>
      </w:pPr>
      <w:r w:rsidRPr="003C0981">
        <w:t>L’indice</w:t>
      </w:r>
      <w:r w:rsidRPr="0088122D">
        <w:rPr>
          <w:lang w:val="fr-MA"/>
        </w:rPr>
        <w:t xml:space="preserve"> moyen des prix à la </w:t>
      </w:r>
      <w:r w:rsidRPr="00E725EB">
        <w:t>consommation</w:t>
      </w:r>
      <w:r w:rsidRPr="0088122D">
        <w:rPr>
          <w:lang w:val="fr-MA"/>
        </w:rPr>
        <w:t xml:space="preserve"> se distingue, au cours des trois premiers mois de </w:t>
      </w:r>
      <w:r w:rsidR="002943C9">
        <w:rPr>
          <w:lang w:val="fr-MA"/>
        </w:rPr>
        <w:t>2022</w:t>
      </w:r>
      <w:r w:rsidRPr="0088122D">
        <w:rPr>
          <w:lang w:val="fr-MA"/>
        </w:rPr>
        <w:t xml:space="preserve">, par une augmentation modérée de </w:t>
      </w:r>
      <w:r w:rsidR="00835662">
        <w:rPr>
          <w:lang w:val="fr-MA"/>
        </w:rPr>
        <w:t>3</w:t>
      </w:r>
      <w:r w:rsidRPr="0088122D">
        <w:rPr>
          <w:lang w:val="fr-MA"/>
        </w:rPr>
        <w:t>,</w:t>
      </w:r>
      <w:r w:rsidR="009B6204">
        <w:rPr>
          <w:lang w:val="fr-MA"/>
        </w:rPr>
        <w:t>3</w:t>
      </w:r>
      <w:r w:rsidRPr="0088122D">
        <w:rPr>
          <w:lang w:val="fr-MA"/>
        </w:rPr>
        <w:t xml:space="preserve">% par rapport à la même période de l'année </w:t>
      </w:r>
      <w:r w:rsidR="00835662">
        <w:rPr>
          <w:lang w:val="fr-MA"/>
        </w:rPr>
        <w:t>2021</w:t>
      </w:r>
      <w:r w:rsidRPr="0088122D">
        <w:rPr>
          <w:lang w:val="fr-MA"/>
        </w:rPr>
        <w:t xml:space="preserve">.Cette évolution est due principalement à la </w:t>
      </w:r>
      <w:r w:rsidR="00525E6E">
        <w:rPr>
          <w:lang w:val="fr-MA"/>
        </w:rPr>
        <w:t>hausse</w:t>
      </w:r>
      <w:r w:rsidRPr="0088122D">
        <w:rPr>
          <w:lang w:val="fr-MA"/>
        </w:rPr>
        <w:t xml:space="preserve"> de l’indice des « Produits alimentaires » de </w:t>
      </w:r>
      <w:r w:rsidR="00525E6E">
        <w:rPr>
          <w:lang w:val="fr-MA"/>
        </w:rPr>
        <w:t>5</w:t>
      </w:r>
      <w:r w:rsidRPr="0088122D">
        <w:rPr>
          <w:lang w:val="fr-MA"/>
        </w:rPr>
        <w:t>,</w:t>
      </w:r>
      <w:r w:rsidR="00525E6E">
        <w:rPr>
          <w:lang w:val="fr-MA"/>
        </w:rPr>
        <w:t>6</w:t>
      </w:r>
      <w:r w:rsidRPr="0088122D">
        <w:rPr>
          <w:lang w:val="fr-MA"/>
        </w:rPr>
        <w:t xml:space="preserve">% et à la hausse de l’indice du « Transport » de </w:t>
      </w:r>
      <w:r w:rsidR="00525E6E">
        <w:rPr>
          <w:lang w:val="fr-MA"/>
        </w:rPr>
        <w:t>6</w:t>
      </w:r>
      <w:r w:rsidRPr="0088122D">
        <w:rPr>
          <w:lang w:val="fr-MA"/>
        </w:rPr>
        <w:t>,</w:t>
      </w:r>
      <w:r w:rsidR="00525E6E">
        <w:rPr>
          <w:lang w:val="fr-MA"/>
        </w:rPr>
        <w:t>0</w:t>
      </w:r>
      <w:r w:rsidRPr="0088122D">
        <w:rPr>
          <w:lang w:val="fr-MA"/>
        </w:rPr>
        <w:t xml:space="preserve">%. </w:t>
      </w:r>
    </w:p>
    <w:p w:rsidR="0088122D" w:rsidRDefault="00AC154F" w:rsidP="00FD7AB4">
      <w:pPr>
        <w:tabs>
          <w:tab w:val="left" w:pos="142"/>
        </w:tabs>
        <w:ind w:left="-567" w:firstLine="709"/>
        <w:jc w:val="both"/>
        <w:rPr>
          <w:lang w:val="fr-MA"/>
        </w:rPr>
      </w:pPr>
      <w:r>
        <w:rPr>
          <w:lang w:val="fr-MA"/>
        </w:rPr>
        <w:t>L'écart s’est</w:t>
      </w:r>
      <w:r w:rsidR="0088122D" w:rsidRPr="009C7B87">
        <w:rPr>
          <w:lang w:val="fr-MA"/>
        </w:rPr>
        <w:t xml:space="preserve"> élargi </w:t>
      </w:r>
      <w:r w:rsidR="00525E6E">
        <w:rPr>
          <w:lang w:val="fr-MA"/>
        </w:rPr>
        <w:t xml:space="preserve">de </w:t>
      </w:r>
      <w:r>
        <w:rPr>
          <w:lang w:val="fr-MA"/>
        </w:rPr>
        <w:t>6</w:t>
      </w:r>
      <w:r w:rsidR="00525E6E">
        <w:rPr>
          <w:lang w:val="fr-MA"/>
        </w:rPr>
        <w:t>,</w:t>
      </w:r>
      <w:r>
        <w:rPr>
          <w:lang w:val="fr-MA"/>
        </w:rPr>
        <w:t>1</w:t>
      </w:r>
      <w:r w:rsidR="0088122D">
        <w:rPr>
          <w:lang w:val="fr-MA"/>
        </w:rPr>
        <w:t>% d</w:t>
      </w:r>
      <w:r w:rsidR="0088122D" w:rsidRPr="009C7B87">
        <w:rPr>
          <w:lang w:val="fr-MA"/>
        </w:rPr>
        <w:t xml:space="preserve">urant </w:t>
      </w:r>
      <w:r>
        <w:rPr>
          <w:lang w:val="fr-MA"/>
        </w:rPr>
        <w:t xml:space="preserve">la période avril à juillet </w:t>
      </w:r>
      <w:r w:rsidRPr="009C7B87">
        <w:rPr>
          <w:lang w:val="fr-MA"/>
        </w:rPr>
        <w:t xml:space="preserve">de l’année </w:t>
      </w:r>
      <w:r>
        <w:rPr>
          <w:lang w:val="fr-MA"/>
        </w:rPr>
        <w:t>2022 avec 6,1%</w:t>
      </w:r>
      <w:r w:rsidR="0088122D" w:rsidRPr="009C7B87">
        <w:rPr>
          <w:lang w:val="fr-MA"/>
        </w:rPr>
        <w:t xml:space="preserve">, rapport à la même période </w:t>
      </w:r>
      <w:r w:rsidR="0088122D">
        <w:rPr>
          <w:lang w:val="fr-MA"/>
        </w:rPr>
        <w:t>en</w:t>
      </w:r>
      <w:r w:rsidR="00525E6E">
        <w:rPr>
          <w:lang w:val="fr-MA"/>
        </w:rPr>
        <w:t>2021</w:t>
      </w:r>
      <w:r w:rsidR="0088122D" w:rsidRPr="009C7B87">
        <w:rPr>
          <w:lang w:val="fr-MA"/>
        </w:rPr>
        <w:t xml:space="preserve">, en raison de l'augmentation de </w:t>
      </w:r>
      <w:r>
        <w:rPr>
          <w:lang w:val="fr-MA"/>
        </w:rPr>
        <w:t>9,3</w:t>
      </w:r>
      <w:r w:rsidR="0088122D" w:rsidRPr="009C7B87">
        <w:rPr>
          <w:lang w:val="fr-MA"/>
        </w:rPr>
        <w:t xml:space="preserve">% pour l’indice des « Produits alimentaires » et de </w:t>
      </w:r>
      <w:r>
        <w:rPr>
          <w:lang w:val="fr-MA"/>
        </w:rPr>
        <w:t>13</w:t>
      </w:r>
      <w:r w:rsidR="0088122D">
        <w:rPr>
          <w:lang w:val="fr-MA"/>
        </w:rPr>
        <w:t>,</w:t>
      </w:r>
      <w:r w:rsidR="00525E6E">
        <w:rPr>
          <w:lang w:val="fr-MA"/>
        </w:rPr>
        <w:t>6</w:t>
      </w:r>
      <w:r w:rsidR="0088122D" w:rsidRPr="009C7B87">
        <w:rPr>
          <w:lang w:val="fr-MA"/>
        </w:rPr>
        <w:t>% pour le</w:t>
      </w:r>
      <w:r>
        <w:rPr>
          <w:lang w:val="fr-MA"/>
        </w:rPr>
        <w:t>s</w:t>
      </w:r>
      <w:r w:rsidR="00E83C68">
        <w:rPr>
          <w:lang w:val="fr-MA"/>
        </w:rPr>
        <w:t xml:space="preserve"> «</w:t>
      </w:r>
      <w:r w:rsidR="0088122D" w:rsidRPr="009C7B87">
        <w:rPr>
          <w:lang w:val="fr-MA"/>
        </w:rPr>
        <w:t>Transport</w:t>
      </w:r>
      <w:r>
        <w:rPr>
          <w:lang w:val="fr-MA"/>
        </w:rPr>
        <w:t>s</w:t>
      </w:r>
      <w:r w:rsidR="00FD7AB4">
        <w:rPr>
          <w:lang w:val="fr-MA"/>
        </w:rPr>
        <w:t> »</w:t>
      </w:r>
      <w:r w:rsidR="0088122D" w:rsidRPr="009C7B87">
        <w:rPr>
          <w:lang w:val="fr-MA"/>
        </w:rPr>
        <w:t>.</w:t>
      </w:r>
    </w:p>
    <w:p w:rsidR="00AC154F" w:rsidRDefault="00AC154F" w:rsidP="00E83C68">
      <w:pPr>
        <w:tabs>
          <w:tab w:val="left" w:pos="142"/>
        </w:tabs>
        <w:ind w:left="-567" w:firstLine="709"/>
        <w:jc w:val="both"/>
        <w:rPr>
          <w:lang w:val="fr-MA"/>
        </w:rPr>
      </w:pPr>
      <w:r>
        <w:rPr>
          <w:lang w:val="fr-MA"/>
        </w:rPr>
        <w:t xml:space="preserve">Durantles 5 derniers mois </w:t>
      </w:r>
      <w:r w:rsidRPr="009C7B87">
        <w:rPr>
          <w:lang w:val="fr-MA"/>
        </w:rPr>
        <w:t xml:space="preserve">de l’année </w:t>
      </w:r>
      <w:r>
        <w:rPr>
          <w:lang w:val="fr-MA"/>
        </w:rPr>
        <w:t xml:space="preserve">2022, </w:t>
      </w:r>
      <w:r w:rsidR="00E83C68">
        <w:rPr>
          <w:lang w:val="fr-MA"/>
        </w:rPr>
        <w:t>l</w:t>
      </w:r>
      <w:r w:rsidRPr="009C7B87">
        <w:rPr>
          <w:lang w:val="fr-MA"/>
        </w:rPr>
        <w:t xml:space="preserve">'écart </w:t>
      </w:r>
      <w:r w:rsidR="00E83C68">
        <w:rPr>
          <w:lang w:val="fr-MA"/>
        </w:rPr>
        <w:t xml:space="preserve">s’est </w:t>
      </w:r>
      <w:r w:rsidR="00E83C68" w:rsidRPr="009C7B87">
        <w:rPr>
          <w:lang w:val="fr-MA"/>
        </w:rPr>
        <w:t>élargi</w:t>
      </w:r>
      <w:r w:rsidRPr="009C7B87">
        <w:rPr>
          <w:lang w:val="fr-MA"/>
        </w:rPr>
        <w:t xml:space="preserve"> considérablement </w:t>
      </w:r>
      <w:r>
        <w:rPr>
          <w:lang w:val="fr-MA"/>
        </w:rPr>
        <w:t xml:space="preserve">de </w:t>
      </w:r>
      <w:r w:rsidR="00E83C68">
        <w:rPr>
          <w:lang w:val="fr-MA"/>
        </w:rPr>
        <w:t>7</w:t>
      </w:r>
      <w:r>
        <w:rPr>
          <w:lang w:val="fr-MA"/>
        </w:rPr>
        <w:t>,</w:t>
      </w:r>
      <w:r w:rsidR="00E83C68">
        <w:rPr>
          <w:lang w:val="fr-MA"/>
        </w:rPr>
        <w:t>3</w:t>
      </w:r>
      <w:r>
        <w:rPr>
          <w:lang w:val="fr-MA"/>
        </w:rPr>
        <w:t xml:space="preserve">% </w:t>
      </w:r>
      <w:r w:rsidRPr="009C7B87">
        <w:rPr>
          <w:lang w:val="fr-MA"/>
        </w:rPr>
        <w:t xml:space="preserve">rapport à la même période </w:t>
      </w:r>
      <w:r>
        <w:rPr>
          <w:lang w:val="fr-MA"/>
        </w:rPr>
        <w:t>en2021</w:t>
      </w:r>
      <w:r w:rsidRPr="009C7B87">
        <w:rPr>
          <w:lang w:val="fr-MA"/>
        </w:rPr>
        <w:t xml:space="preserve">, </w:t>
      </w:r>
      <w:r w:rsidR="00E83C68">
        <w:rPr>
          <w:lang w:val="fr-MA"/>
        </w:rPr>
        <w:t>due essentiellement àla hausse</w:t>
      </w:r>
      <w:r w:rsidRPr="009C7B87">
        <w:rPr>
          <w:lang w:val="fr-MA"/>
        </w:rPr>
        <w:t xml:space="preserve"> l’indice des « Prod</w:t>
      </w:r>
      <w:r w:rsidR="00E83C68">
        <w:rPr>
          <w:lang w:val="fr-MA"/>
        </w:rPr>
        <w:t xml:space="preserve">uits alimentaires » </w:t>
      </w:r>
      <w:r w:rsidRPr="009C7B87">
        <w:rPr>
          <w:lang w:val="fr-MA"/>
        </w:rPr>
        <w:t xml:space="preserve">de </w:t>
      </w:r>
      <w:r>
        <w:rPr>
          <w:lang w:val="fr-MA"/>
        </w:rPr>
        <w:t>13,</w:t>
      </w:r>
      <w:r w:rsidR="00E83C68">
        <w:rPr>
          <w:lang w:val="fr-MA"/>
        </w:rPr>
        <w:t>0% et de l’indice des «</w:t>
      </w:r>
      <w:r w:rsidRPr="009C7B87">
        <w:rPr>
          <w:lang w:val="fr-MA"/>
        </w:rPr>
        <w:t>Transport</w:t>
      </w:r>
      <w:r>
        <w:rPr>
          <w:lang w:val="fr-MA"/>
        </w:rPr>
        <w:t>s</w:t>
      </w:r>
      <w:r w:rsidRPr="009C7B87">
        <w:rPr>
          <w:lang w:val="fr-MA"/>
        </w:rPr>
        <w:t xml:space="preserve"> »</w:t>
      </w:r>
      <w:r w:rsidR="00E83C68">
        <w:rPr>
          <w:lang w:val="fr-MA"/>
        </w:rPr>
        <w:t xml:space="preserve"> de 11,9%</w:t>
      </w:r>
      <w:r w:rsidRPr="009C7B87">
        <w:rPr>
          <w:lang w:val="fr-MA"/>
        </w:rPr>
        <w:t>.</w:t>
      </w:r>
    </w:p>
    <w:p w:rsidR="00E83C68" w:rsidRDefault="00E83C68" w:rsidP="003C0981">
      <w:pPr>
        <w:ind w:left="-567" w:firstLine="709"/>
        <w:jc w:val="both"/>
        <w:rPr>
          <w:rtl/>
        </w:rPr>
      </w:pPr>
      <w:r>
        <w:t>De manière générale</w:t>
      </w:r>
      <w:r w:rsidR="0088122D" w:rsidRPr="009C7B87">
        <w:rPr>
          <w:lang w:val="fr-MA"/>
        </w:rPr>
        <w:t xml:space="preserve">, on peut dire que les fluctuations </w:t>
      </w:r>
      <w:r>
        <w:t>observées au niveau de l’indice des prix à la consommation</w:t>
      </w:r>
      <w:r w:rsidR="0088122D" w:rsidRPr="009C7B87">
        <w:rPr>
          <w:lang w:val="fr-MA"/>
        </w:rPr>
        <w:t xml:space="preserve">durant l’année </w:t>
      </w:r>
      <w:r w:rsidR="00525E6E">
        <w:rPr>
          <w:lang w:val="fr-MA"/>
        </w:rPr>
        <w:t>2022</w:t>
      </w:r>
      <w:r w:rsidR="0088122D" w:rsidRPr="009C7B87">
        <w:rPr>
          <w:lang w:val="fr-MA"/>
        </w:rPr>
        <w:t xml:space="preserve">, sont principalement dues aux variations enregistrées </w:t>
      </w:r>
      <w:r w:rsidR="003C0981">
        <w:rPr>
          <w:lang w:val="fr-MA"/>
        </w:rPr>
        <w:t>au niveau de</w:t>
      </w:r>
      <w:r w:rsidR="0088122D" w:rsidRPr="009C7B87">
        <w:rPr>
          <w:lang w:val="fr-MA"/>
        </w:rPr>
        <w:t xml:space="preserve"> l’indice des « </w:t>
      </w:r>
      <w:r w:rsidR="00703387">
        <w:rPr>
          <w:lang w:val="fr-MA"/>
        </w:rPr>
        <w:t>P</w:t>
      </w:r>
      <w:r w:rsidR="003C0981">
        <w:rPr>
          <w:lang w:val="fr-MA"/>
        </w:rPr>
        <w:t>roduits alimentaires » et des</w:t>
      </w:r>
      <w:r w:rsidR="0088122D" w:rsidRPr="009C7B87">
        <w:rPr>
          <w:lang w:val="fr-MA"/>
        </w:rPr>
        <w:t xml:space="preserve"> « Transport</w:t>
      </w:r>
      <w:r w:rsidR="003C0981">
        <w:rPr>
          <w:lang w:val="fr-MA"/>
        </w:rPr>
        <w:t>s</w:t>
      </w:r>
      <w:r w:rsidR="0088122D" w:rsidRPr="009C7B87">
        <w:rPr>
          <w:lang w:val="fr-MA"/>
        </w:rPr>
        <w:t xml:space="preserve"> » no</w:t>
      </w:r>
      <w:r w:rsidR="005541AF">
        <w:rPr>
          <w:lang w:val="fr-MA"/>
        </w:rPr>
        <w:t>tamment les prix des carburants (figure 2).</w:t>
      </w:r>
    </w:p>
    <w:p w:rsidR="00E725EB" w:rsidRPr="009C7B87" w:rsidRDefault="00E725EB" w:rsidP="00703387">
      <w:pPr>
        <w:ind w:left="-567" w:firstLine="709"/>
        <w:jc w:val="both"/>
        <w:rPr>
          <w:lang w:val="fr-MA"/>
        </w:rPr>
      </w:pPr>
    </w:p>
    <w:p w:rsidR="0088122D" w:rsidRDefault="0088122D" w:rsidP="00691B39">
      <w:pPr>
        <w:ind w:left="-284" w:firstLine="426"/>
        <w:rPr>
          <w:lang w:val="fr-MA"/>
        </w:rPr>
      </w:pPr>
    </w:p>
    <w:p w:rsidR="00E725EB" w:rsidRPr="00E725EB" w:rsidRDefault="00E725EB" w:rsidP="00E83C68">
      <w:pPr>
        <w:ind w:left="-284" w:firstLine="426"/>
        <w:rPr>
          <w:b/>
          <w:bCs/>
          <w:lang w:val="fr-MA"/>
        </w:rPr>
      </w:pPr>
    </w:p>
    <w:p w:rsidR="00E725EB" w:rsidRDefault="00E725EB" w:rsidP="00691B39">
      <w:pPr>
        <w:ind w:left="-284" w:firstLine="426"/>
        <w:rPr>
          <w:lang w:val="fr-MA"/>
        </w:rPr>
      </w:pPr>
    </w:p>
    <w:p w:rsidR="00691B39" w:rsidRDefault="00691B39" w:rsidP="0088122D">
      <w:pPr>
        <w:ind w:firstLine="360"/>
        <w:rPr>
          <w:lang w:val="fr-MA"/>
        </w:rPr>
      </w:pPr>
    </w:p>
    <w:p w:rsidR="00A31F3B" w:rsidRDefault="00A31F3B" w:rsidP="003B7F62">
      <w:pPr>
        <w:pStyle w:val="Titre2"/>
        <w:numPr>
          <w:ilvl w:val="0"/>
          <w:numId w:val="10"/>
        </w:numPr>
        <w:rPr>
          <w:rFonts w:asciiTheme="minorHAnsi" w:hAnsiTheme="minorHAnsi"/>
          <w:color w:val="E36C0A" w:themeColor="accent6" w:themeShade="BF"/>
        </w:rPr>
      </w:pPr>
      <w:bookmarkStart w:id="12" w:name="_Toc183085615"/>
      <w:r w:rsidRPr="00A87EFE">
        <w:rPr>
          <w:rFonts w:asciiTheme="minorHAnsi" w:hAnsiTheme="minorHAnsi"/>
          <w:color w:val="E36C0A" w:themeColor="accent6" w:themeShade="BF"/>
        </w:rPr>
        <w:t>Evolution mensuelle de</w:t>
      </w:r>
      <w:r>
        <w:rPr>
          <w:rFonts w:asciiTheme="minorHAnsi" w:hAnsiTheme="minorHAnsi"/>
          <w:color w:val="E36C0A" w:themeColor="accent6" w:themeShade="BF"/>
        </w:rPr>
        <w:t xml:space="preserve">s </w:t>
      </w:r>
      <w:r w:rsidR="00F67F4B" w:rsidRPr="00A87EFE">
        <w:rPr>
          <w:rFonts w:asciiTheme="minorHAnsi" w:hAnsiTheme="minorHAnsi"/>
          <w:color w:val="E36C0A" w:themeColor="accent6" w:themeShade="BF"/>
        </w:rPr>
        <w:t>indice</w:t>
      </w:r>
      <w:r w:rsidR="00F67F4B">
        <w:rPr>
          <w:rFonts w:asciiTheme="minorHAnsi" w:hAnsiTheme="minorHAnsi"/>
          <w:color w:val="E36C0A" w:themeColor="accent6" w:themeShade="BF"/>
        </w:rPr>
        <w:t>s :</w:t>
      </w:r>
      <w:r w:rsidRPr="00A31F3B">
        <w:rPr>
          <w:rFonts w:asciiTheme="minorHAnsi" w:hAnsiTheme="minorHAnsi"/>
          <w:color w:val="E36C0A" w:themeColor="accent6" w:themeShade="BF"/>
        </w:rPr>
        <w:t xml:space="preserve">général, alimentaire et non alimentaire </w:t>
      </w:r>
      <w:r w:rsidR="003A58A6">
        <w:rPr>
          <w:rFonts w:asciiTheme="minorHAnsi" w:hAnsiTheme="minorHAnsi"/>
          <w:color w:val="E36C0A" w:themeColor="accent6" w:themeShade="BF"/>
        </w:rPr>
        <w:t xml:space="preserve">de </w:t>
      </w:r>
      <w:r w:rsidR="00911DD8">
        <w:rPr>
          <w:rFonts w:asciiTheme="minorHAnsi" w:hAnsiTheme="minorHAnsi"/>
          <w:color w:val="E36C0A" w:themeColor="accent6" w:themeShade="BF"/>
        </w:rPr>
        <w:t xml:space="preserve">la ville de </w:t>
      </w:r>
      <w:r w:rsidRPr="00A31F3B">
        <w:rPr>
          <w:rFonts w:asciiTheme="minorHAnsi" w:hAnsiTheme="minorHAnsi"/>
          <w:color w:val="E36C0A" w:themeColor="accent6" w:themeShade="BF"/>
        </w:rPr>
        <w:t>Rabat</w:t>
      </w:r>
      <w:bookmarkEnd w:id="12"/>
    </w:p>
    <w:p w:rsidR="007E7EAE" w:rsidRPr="007E7EAE" w:rsidRDefault="007E7EAE" w:rsidP="007E7EAE">
      <w:pPr>
        <w:spacing w:line="240" w:lineRule="auto"/>
        <w:rPr>
          <w:sz w:val="10"/>
          <w:szCs w:val="10"/>
        </w:rPr>
      </w:pPr>
    </w:p>
    <w:p w:rsidR="00911DD8" w:rsidRDefault="00A31F3B" w:rsidP="00D12D75">
      <w:pPr>
        <w:ind w:left="-567" w:firstLine="708"/>
        <w:jc w:val="both"/>
      </w:pPr>
      <w:r w:rsidRPr="009D2187">
        <w:t xml:space="preserve">L’IPC comprend deux grands groupes de la nomenclature des biens et services : les produits alimentaires et les produits non alimentaires. </w:t>
      </w:r>
    </w:p>
    <w:p w:rsidR="00A31F3B" w:rsidRDefault="00A31F3B" w:rsidP="00D12D75">
      <w:pPr>
        <w:ind w:left="-567" w:firstLine="708"/>
        <w:jc w:val="both"/>
      </w:pPr>
      <w:r w:rsidRPr="009D2187">
        <w:t>Malgré la baisse tendancielle de leur part dans le budget des ménages, les dépenses d’alimentation occupent toujours une place de choix. Elles représentent34,68%</w:t>
      </w:r>
      <w:r>
        <w:t xml:space="preserve"> du budget des ménages </w:t>
      </w:r>
      <w:r w:rsidR="002277D7">
        <w:t>urbains dans</w:t>
      </w:r>
      <w:r>
        <w:t xml:space="preserve"> la ville de Rabat</w:t>
      </w:r>
      <w:r w:rsidR="00854E1B">
        <w:t>,</w:t>
      </w:r>
      <w:r w:rsidRPr="009D2187">
        <w:t xml:space="preserve"> selon les données de l’enquête nationale sur la consommation et les dépenses de ménages de 2013-2014,</w:t>
      </w:r>
      <w:r>
        <w:t xml:space="preserve"> donc toute augmentation du prix de cette catégorie de dépenses ne peut que se répercuter sur le niveau de l’IPC et par conséquent sur le pouvoir d’achat. </w:t>
      </w:r>
    </w:p>
    <w:p w:rsidR="00A31F3B" w:rsidRDefault="00A31F3B" w:rsidP="00FF54E6">
      <w:pPr>
        <w:ind w:left="-567" w:firstLine="708"/>
        <w:jc w:val="both"/>
      </w:pPr>
      <w:r>
        <w:t xml:space="preserve">L’année </w:t>
      </w:r>
      <w:r w:rsidR="00E7267A">
        <w:t>2022</w:t>
      </w:r>
      <w:r>
        <w:t xml:space="preserve"> a été marquée par des variations cycliques due essentiellement à la </w:t>
      </w:r>
      <w:r w:rsidR="00B05BC9">
        <w:t>hausse</w:t>
      </w:r>
      <w:r>
        <w:t xml:space="preserve"> de l’indice alimentaire de </w:t>
      </w:r>
      <w:r w:rsidR="00FF54E6">
        <w:t xml:space="preserve">3,4% et </w:t>
      </w:r>
      <w:r w:rsidR="007F528E">
        <w:t>3</w:t>
      </w:r>
      <w:r>
        <w:t>,</w:t>
      </w:r>
      <w:r w:rsidR="00372F5F">
        <w:t>5</w:t>
      </w:r>
      <w:r>
        <w:t xml:space="preserve">% en mois </w:t>
      </w:r>
      <w:r w:rsidR="00372F5F">
        <w:t xml:space="preserve">de </w:t>
      </w:r>
      <w:r w:rsidR="00FF54E6">
        <w:t xml:space="preserve">mars et </w:t>
      </w:r>
      <w:r w:rsidR="00372F5F">
        <w:t>mai</w:t>
      </w:r>
      <w:r>
        <w:t xml:space="preserve">, suivi d’une </w:t>
      </w:r>
      <w:r w:rsidR="00FF54E6">
        <w:t xml:space="preserve">légère </w:t>
      </w:r>
      <w:r w:rsidR="00B05BC9">
        <w:t>baisse</w:t>
      </w:r>
      <w:r>
        <w:t xml:space="preserve"> des prix de </w:t>
      </w:r>
      <w:r w:rsidR="00372F5F">
        <w:t>0,2</w:t>
      </w:r>
      <w:r>
        <w:t xml:space="preserve">% au cours de mois de </w:t>
      </w:r>
      <w:r w:rsidR="00A01D65">
        <w:t>juin</w:t>
      </w:r>
      <w:r>
        <w:t xml:space="preserve">, puis une reprise vers la </w:t>
      </w:r>
      <w:r w:rsidR="00B05BC9">
        <w:t>hausse</w:t>
      </w:r>
      <w:r w:rsidR="004A43BF">
        <w:t>au cours des</w:t>
      </w:r>
      <w:r w:rsidR="003C41F8">
        <w:t xml:space="preserve">mois </w:t>
      </w:r>
      <w:r w:rsidR="00A01D65">
        <w:t xml:space="preserve">de </w:t>
      </w:r>
      <w:r w:rsidR="005541AF">
        <w:t>juillet jusqu’au</w:t>
      </w:r>
      <w:r w:rsidR="00FF54E6">
        <w:t xml:space="preserve"> décembre avec</w:t>
      </w:r>
      <w:r w:rsidR="004A43BF">
        <w:t>des</w:t>
      </w:r>
      <w:r w:rsidR="002277D7">
        <w:t>variations respectivement</w:t>
      </w:r>
      <w:r w:rsidR="00854E1B">
        <w:t xml:space="preserve"> d’ordre de </w:t>
      </w:r>
      <w:r w:rsidR="00956BB4">
        <w:t>+</w:t>
      </w:r>
      <w:r w:rsidR="00A01D65">
        <w:t>1</w:t>
      </w:r>
      <w:r w:rsidR="003C41F8">
        <w:t>,</w:t>
      </w:r>
      <w:r w:rsidR="00372F5F">
        <w:t>2</w:t>
      </w:r>
      <w:r w:rsidR="003C41F8">
        <w:t>%</w:t>
      </w:r>
      <w:r w:rsidR="00FF54E6">
        <w:t xml:space="preserve">, +2,6%, +0,7% </w:t>
      </w:r>
      <w:r w:rsidR="004A43BF">
        <w:t>et +</w:t>
      </w:r>
      <w:r w:rsidR="00FF54E6">
        <w:t>0</w:t>
      </w:r>
      <w:r w:rsidR="00372F5F">
        <w:t>,6</w:t>
      </w:r>
      <w:r w:rsidR="004A43BF">
        <w:t>%</w:t>
      </w:r>
      <w:r>
        <w:t>.</w:t>
      </w:r>
    </w:p>
    <w:p w:rsidR="002A43C1" w:rsidRDefault="00A31F3B" w:rsidP="00FF54E6">
      <w:pPr>
        <w:ind w:left="-567"/>
        <w:jc w:val="both"/>
      </w:pPr>
      <w:r>
        <w:tab/>
      </w:r>
      <w:r w:rsidRPr="00274F96">
        <w:t>A noter, cependant,</w:t>
      </w:r>
      <w:r w:rsidR="002A43C1">
        <w:t xml:space="preserve"> quepour </w:t>
      </w:r>
      <w:r w:rsidR="002A43C1" w:rsidRPr="00274F96">
        <w:t xml:space="preserve">l’indice non alimentaire </w:t>
      </w:r>
      <w:r w:rsidR="002A43C1">
        <w:t xml:space="preserve">les hausses </w:t>
      </w:r>
      <w:r w:rsidR="002A43C1" w:rsidRPr="002A43C1">
        <w:t>les plus importantes ont été enregistrée</w:t>
      </w:r>
      <w:r w:rsidR="00B16EC2">
        <w:t>s</w:t>
      </w:r>
      <w:r w:rsidR="002A43C1" w:rsidRPr="002A43C1">
        <w:t xml:space="preserve"> au cours de mois </w:t>
      </w:r>
      <w:r w:rsidR="00FF54E6">
        <w:t xml:space="preserve">d’avrilavec 1,2% </w:t>
      </w:r>
      <w:r w:rsidR="002A43C1">
        <w:t xml:space="preserve">et </w:t>
      </w:r>
      <w:r w:rsidR="00FF54E6">
        <w:t>en juin</w:t>
      </w:r>
      <w:r w:rsidR="002A43C1">
        <w:t xml:space="preserve"> avec </w:t>
      </w:r>
      <w:r w:rsidR="00FF54E6">
        <w:t>1</w:t>
      </w:r>
      <w:r w:rsidR="00B16EC2">
        <w:t>,</w:t>
      </w:r>
      <w:r w:rsidR="00FF54E6">
        <w:t>1%,</w:t>
      </w:r>
      <w:r w:rsidR="00B16EC2">
        <w:rPr>
          <w:rFonts w:asciiTheme="minorBidi" w:hAnsiTheme="minorBidi"/>
          <w:sz w:val="18"/>
          <w:szCs w:val="18"/>
        </w:rPr>
        <w:t>et les</w:t>
      </w:r>
      <w:r w:rsidR="00B16EC2" w:rsidRPr="00B6358C">
        <w:rPr>
          <w:rFonts w:asciiTheme="minorBidi" w:hAnsiTheme="minorBidi"/>
          <w:sz w:val="18"/>
          <w:szCs w:val="18"/>
        </w:rPr>
        <w:t xml:space="preserve"> baisses</w:t>
      </w:r>
      <w:r w:rsidR="00B16EC2">
        <w:rPr>
          <w:rFonts w:asciiTheme="minorBidi" w:hAnsiTheme="minorBidi"/>
          <w:sz w:val="18"/>
          <w:szCs w:val="18"/>
        </w:rPr>
        <w:t xml:space="preserve"> les plus marquantes</w:t>
      </w:r>
      <w:r w:rsidR="00B16EC2" w:rsidRPr="00B6358C">
        <w:rPr>
          <w:rFonts w:asciiTheme="minorBidi" w:hAnsiTheme="minorBidi"/>
          <w:sz w:val="18"/>
          <w:szCs w:val="18"/>
        </w:rPr>
        <w:t xml:space="preserve"> ont été enregistrées </w:t>
      </w:r>
      <w:r w:rsidR="00B16EC2">
        <w:t xml:space="preserve">en </w:t>
      </w:r>
      <w:r w:rsidR="00FF54E6">
        <w:t xml:space="preserve">mois d’aoûtet décembre respectivement </w:t>
      </w:r>
      <w:r w:rsidR="00B16EC2">
        <w:t>avec 0,</w:t>
      </w:r>
      <w:r w:rsidR="00FF54E6">
        <w:t>9</w:t>
      </w:r>
      <w:r w:rsidR="00B16EC2">
        <w:t>%</w:t>
      </w:r>
      <w:r w:rsidR="00FF54E6">
        <w:t xml:space="preserve"> et 0,5%</w:t>
      </w:r>
      <w:r w:rsidR="00B16EC2">
        <w:t>.</w:t>
      </w:r>
    </w:p>
    <w:p w:rsidR="00A31F3B" w:rsidRDefault="00A31F3B" w:rsidP="00FF54E6">
      <w:pPr>
        <w:tabs>
          <w:tab w:val="left" w:pos="-567"/>
        </w:tabs>
        <w:ind w:left="-567"/>
        <w:jc w:val="both"/>
      </w:pPr>
      <w:r>
        <w:tab/>
        <w:t xml:space="preserve">Le graphique suivant met en relief la corrélation entre l’indice des produits alimentaires et l’indice général des prix à la consommation durant l’année </w:t>
      </w:r>
      <w:r w:rsidR="00FF54E6">
        <w:t>2022</w:t>
      </w:r>
      <w:r>
        <w:t> :</w:t>
      </w:r>
    </w:p>
    <w:p w:rsidR="00E725EB" w:rsidRDefault="00E725EB" w:rsidP="00B842A7">
      <w:pPr>
        <w:tabs>
          <w:tab w:val="left" w:pos="-567"/>
        </w:tabs>
        <w:ind w:left="-567"/>
        <w:jc w:val="both"/>
      </w:pPr>
    </w:p>
    <w:p w:rsidR="00341AA9" w:rsidRDefault="00A31F3B" w:rsidP="00BD1AB1">
      <w:pPr>
        <w:rPr>
          <w:rFonts w:asciiTheme="majorBidi" w:hAnsiTheme="majorBidi" w:cstheme="majorBidi"/>
          <w:lang w:val="fr-MA"/>
        </w:rPr>
      </w:pPr>
      <w:r w:rsidRPr="00100DAA">
        <w:rPr>
          <w:noProof/>
          <w:shd w:val="clear" w:color="auto" w:fill="C6D9F1" w:themeFill="text2" w:themeFillTint="33"/>
        </w:rPr>
        <w:drawing>
          <wp:inline distT="0" distB="0" distL="0" distR="0">
            <wp:extent cx="6076950" cy="3597275"/>
            <wp:effectExtent l="0" t="0" r="0" b="3175"/>
            <wp:docPr id="2"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25EB" w:rsidRPr="00294648" w:rsidRDefault="00E725EB" w:rsidP="00E725EB">
      <w:pPr>
        <w:ind w:right="850"/>
        <w:jc w:val="right"/>
        <w:rPr>
          <w:b/>
          <w:bCs/>
          <w:sz w:val="16"/>
          <w:szCs w:val="16"/>
        </w:rPr>
      </w:pPr>
      <w:r w:rsidRPr="00294648">
        <w:rPr>
          <w:b/>
          <w:bCs/>
          <w:sz w:val="16"/>
          <w:szCs w:val="16"/>
        </w:rPr>
        <w:t>Source : HCP</w:t>
      </w:r>
    </w:p>
    <w:p w:rsidR="00E725EB" w:rsidRDefault="00E725EB" w:rsidP="004521A6">
      <w:pPr>
        <w:jc w:val="right"/>
        <w:rPr>
          <w:b/>
          <w:bCs/>
          <w:sz w:val="16"/>
          <w:szCs w:val="16"/>
        </w:rPr>
      </w:pPr>
    </w:p>
    <w:p w:rsidR="00E725EB" w:rsidRPr="005541AF" w:rsidRDefault="00E725EB" w:rsidP="004521A6">
      <w:pPr>
        <w:jc w:val="right"/>
        <w:rPr>
          <w:b/>
          <w:bCs/>
          <w:sz w:val="16"/>
          <w:szCs w:val="16"/>
          <w:lang w:val="fr-MA"/>
        </w:rPr>
      </w:pPr>
    </w:p>
    <w:p w:rsidR="00E725EB" w:rsidRDefault="00E725EB" w:rsidP="004521A6">
      <w:pPr>
        <w:jc w:val="right"/>
        <w:rPr>
          <w:b/>
          <w:bCs/>
          <w:sz w:val="16"/>
          <w:szCs w:val="16"/>
        </w:rPr>
      </w:pPr>
    </w:p>
    <w:p w:rsidR="007E7EAE" w:rsidRDefault="007E7EAE" w:rsidP="00A70AB6">
      <w:pPr>
        <w:pStyle w:val="Titre2"/>
        <w:numPr>
          <w:ilvl w:val="0"/>
          <w:numId w:val="10"/>
        </w:numPr>
        <w:rPr>
          <w:rFonts w:asciiTheme="minorHAnsi" w:hAnsiTheme="minorHAnsi"/>
          <w:color w:val="E36C0A" w:themeColor="accent6" w:themeShade="BF"/>
        </w:rPr>
      </w:pPr>
      <w:bookmarkStart w:id="13" w:name="_Toc183085616"/>
      <w:r w:rsidRPr="00A87EFE">
        <w:rPr>
          <w:rFonts w:asciiTheme="minorHAnsi" w:hAnsiTheme="minorHAnsi"/>
          <w:color w:val="E36C0A" w:themeColor="accent6" w:themeShade="BF"/>
        </w:rPr>
        <w:t xml:space="preserve">Evolution </w:t>
      </w:r>
      <w:r>
        <w:rPr>
          <w:rFonts w:asciiTheme="minorHAnsi" w:hAnsiTheme="minorHAnsi"/>
          <w:color w:val="E36C0A" w:themeColor="accent6" w:themeShade="BF"/>
        </w:rPr>
        <w:t>annuelle</w:t>
      </w:r>
      <w:bookmarkStart w:id="14" w:name="_Toc67000674"/>
      <w:r w:rsidRPr="00A87EFE">
        <w:rPr>
          <w:rFonts w:asciiTheme="minorHAnsi" w:hAnsiTheme="minorHAnsi"/>
          <w:color w:val="E36C0A" w:themeColor="accent6" w:themeShade="BF"/>
        </w:rPr>
        <w:t xml:space="preserve"> de</w:t>
      </w:r>
      <w:r>
        <w:rPr>
          <w:rFonts w:asciiTheme="minorHAnsi" w:hAnsiTheme="minorHAnsi"/>
          <w:color w:val="E36C0A" w:themeColor="accent6" w:themeShade="BF"/>
        </w:rPr>
        <w:t xml:space="preserve"> l’</w:t>
      </w:r>
      <w:r w:rsidRPr="00A87EFE">
        <w:rPr>
          <w:rFonts w:asciiTheme="minorHAnsi" w:hAnsiTheme="minorHAnsi"/>
          <w:color w:val="E36C0A" w:themeColor="accent6" w:themeShade="BF"/>
        </w:rPr>
        <w:t>indice</w:t>
      </w:r>
      <w:r>
        <w:rPr>
          <w:rFonts w:asciiTheme="minorHAnsi" w:hAnsiTheme="minorHAnsi"/>
          <w:color w:val="E36C0A" w:themeColor="accent6" w:themeShade="BF"/>
        </w:rPr>
        <w:t xml:space="preserve"> général durant la période 2017-</w:t>
      </w:r>
      <w:bookmarkEnd w:id="14"/>
      <w:r w:rsidR="00A70AB6">
        <w:rPr>
          <w:rFonts w:asciiTheme="minorHAnsi" w:hAnsiTheme="minorHAnsi"/>
          <w:color w:val="E36C0A" w:themeColor="accent6" w:themeShade="BF"/>
        </w:rPr>
        <w:t>2022</w:t>
      </w:r>
      <w:bookmarkEnd w:id="13"/>
    </w:p>
    <w:p w:rsidR="007E7EAE" w:rsidRPr="007E7EAE" w:rsidRDefault="007E7EAE" w:rsidP="007E7EAE">
      <w:pPr>
        <w:ind w:left="-567" w:firstLine="709"/>
        <w:jc w:val="both"/>
        <w:rPr>
          <w:rFonts w:asciiTheme="majorBidi" w:hAnsiTheme="majorBidi" w:cstheme="majorBidi"/>
          <w:sz w:val="10"/>
          <w:szCs w:val="10"/>
        </w:rPr>
      </w:pPr>
    </w:p>
    <w:p w:rsidR="007E7EAE" w:rsidRDefault="007E7EAE" w:rsidP="00ED7277">
      <w:pPr>
        <w:ind w:left="-567" w:firstLine="709"/>
        <w:jc w:val="both"/>
        <w:rPr>
          <w:lang w:eastAsia="ar-MA" w:bidi="ar-MA"/>
        </w:rPr>
      </w:pPr>
      <w:r w:rsidRPr="00452B7D">
        <w:rPr>
          <w:lang w:eastAsia="ar-MA" w:bidi="ar-MA"/>
        </w:rPr>
        <w:t>Durant la période 2017-</w:t>
      </w:r>
      <w:r w:rsidR="00A70AB6">
        <w:rPr>
          <w:lang w:eastAsia="ar-MA" w:bidi="ar-MA"/>
        </w:rPr>
        <w:t>2022</w:t>
      </w:r>
      <w:r w:rsidR="0056409C">
        <w:rPr>
          <w:lang w:eastAsia="ar-MA" w:bidi="ar-MA"/>
        </w:rPr>
        <w:t>,</w:t>
      </w:r>
      <w:r w:rsidRPr="00452B7D">
        <w:rPr>
          <w:lang w:eastAsia="ar-MA" w:bidi="ar-MA"/>
        </w:rPr>
        <w:t xml:space="preserve"> l’indice général des prix a </w:t>
      </w:r>
      <w:r w:rsidR="00452B7D">
        <w:rPr>
          <w:lang w:eastAsia="ar-MA" w:bidi="ar-MA"/>
        </w:rPr>
        <w:t xml:space="preserve">enregistréune </w:t>
      </w:r>
      <w:r w:rsidRPr="00452B7D">
        <w:rPr>
          <w:lang w:eastAsia="ar-MA" w:bidi="ar-MA"/>
        </w:rPr>
        <w:t xml:space="preserve">tendance à la hausse modérée </w:t>
      </w:r>
      <w:r w:rsidR="00452B7D">
        <w:rPr>
          <w:lang w:eastAsia="ar-MA" w:bidi="ar-MA"/>
        </w:rPr>
        <w:t>aussi bien pour le National</w:t>
      </w:r>
      <w:r w:rsidRPr="00452B7D">
        <w:rPr>
          <w:lang w:eastAsia="ar-MA" w:bidi="ar-MA"/>
        </w:rPr>
        <w:t xml:space="preserve"> que pour la ville de Rabat</w:t>
      </w:r>
      <w:r w:rsidR="00452B7D">
        <w:rPr>
          <w:lang w:eastAsia="ar-MA" w:bidi="ar-MA"/>
        </w:rPr>
        <w:t xml:space="preserve">. L’inflation moyenne s’est située </w:t>
      </w:r>
      <w:r w:rsidRPr="00452B7D">
        <w:rPr>
          <w:lang w:eastAsia="ar-MA" w:bidi="ar-MA"/>
        </w:rPr>
        <w:t xml:space="preserve">aux alentours de </w:t>
      </w:r>
      <w:r w:rsidR="007216E5">
        <w:rPr>
          <w:lang w:eastAsia="ar-MA" w:bidi="ar-MA"/>
        </w:rPr>
        <w:t>1,96% pour la ville de R</w:t>
      </w:r>
      <w:r w:rsidR="00ED7277">
        <w:rPr>
          <w:lang w:eastAsia="ar-MA" w:bidi="ar-MA"/>
        </w:rPr>
        <w:t xml:space="preserve">abat </w:t>
      </w:r>
      <w:r w:rsidR="007216E5">
        <w:rPr>
          <w:lang w:eastAsia="ar-MA" w:bidi="ar-MA"/>
        </w:rPr>
        <w:t xml:space="preserve">contre </w:t>
      </w:r>
      <w:r w:rsidR="00A70AB6">
        <w:rPr>
          <w:lang w:eastAsia="ar-MA" w:bidi="ar-MA"/>
        </w:rPr>
        <w:t>2</w:t>
      </w:r>
      <w:r w:rsidR="00DE760F" w:rsidRPr="00452B7D">
        <w:rPr>
          <w:lang w:eastAsia="ar-MA" w:bidi="ar-MA"/>
        </w:rPr>
        <w:t>,</w:t>
      </w:r>
      <w:r w:rsidR="00A70AB6">
        <w:rPr>
          <w:lang w:eastAsia="ar-MA" w:bidi="ar-MA"/>
        </w:rPr>
        <w:t>1</w:t>
      </w:r>
      <w:r w:rsidRPr="00452B7D">
        <w:rPr>
          <w:lang w:eastAsia="ar-MA" w:bidi="ar-MA"/>
        </w:rPr>
        <w:t xml:space="preserve">% </w:t>
      </w:r>
      <w:r w:rsidR="00452B7D">
        <w:rPr>
          <w:lang w:eastAsia="ar-MA" w:bidi="ar-MA"/>
        </w:rPr>
        <w:t xml:space="preserve">pour </w:t>
      </w:r>
      <w:r w:rsidR="007216E5">
        <w:rPr>
          <w:lang w:eastAsia="ar-MA" w:bidi="ar-MA"/>
        </w:rPr>
        <w:t>le Maroc</w:t>
      </w:r>
      <w:r w:rsidRPr="00452B7D">
        <w:rPr>
          <w:lang w:eastAsia="ar-MA" w:bidi="ar-MA"/>
        </w:rPr>
        <w:t xml:space="preserve">. Par conséquent, la ville de Rabat est considérée moins </w:t>
      </w:r>
      <w:r w:rsidR="005F23D8" w:rsidRPr="00452B7D">
        <w:rPr>
          <w:lang w:eastAsia="ar-MA" w:bidi="ar-MA"/>
        </w:rPr>
        <w:t>chère puisque sa</w:t>
      </w:r>
      <w:r w:rsidRPr="00452B7D">
        <w:rPr>
          <w:lang w:eastAsia="ar-MA" w:bidi="ar-MA"/>
        </w:rPr>
        <w:t xml:space="preserve"> variation se situe en dessous de la moyenne nationale avec des </w:t>
      </w:r>
      <w:r w:rsidR="00DE760F" w:rsidRPr="00452B7D">
        <w:rPr>
          <w:lang w:eastAsia="ar-MA" w:bidi="ar-MA"/>
        </w:rPr>
        <w:t xml:space="preserve">écarts de 0,4 points en 2018, de </w:t>
      </w:r>
      <w:r w:rsidRPr="00452B7D">
        <w:rPr>
          <w:lang w:eastAsia="ar-MA" w:bidi="ar-MA"/>
        </w:rPr>
        <w:t xml:space="preserve">0,2 points en </w:t>
      </w:r>
      <w:r w:rsidR="0056409C" w:rsidRPr="00452B7D">
        <w:rPr>
          <w:lang w:eastAsia="ar-MA" w:bidi="ar-MA"/>
        </w:rPr>
        <w:t>2019,</w:t>
      </w:r>
      <w:r w:rsidR="00DE760F" w:rsidRPr="00452B7D">
        <w:rPr>
          <w:lang w:eastAsia="ar-MA" w:bidi="ar-MA"/>
        </w:rPr>
        <w:t xml:space="preserve"> une égalité en 2020</w:t>
      </w:r>
      <w:r w:rsidR="007216E5">
        <w:rPr>
          <w:lang w:eastAsia="ar-MA" w:bidi="ar-MA"/>
        </w:rPr>
        <w:t>,</w:t>
      </w:r>
      <w:r w:rsidR="00636EED">
        <w:rPr>
          <w:lang w:eastAsia="ar-MA" w:bidi="ar-MA"/>
        </w:rPr>
        <w:t xml:space="preserve"> 0,1 points</w:t>
      </w:r>
      <w:r w:rsidR="005F23D8">
        <w:rPr>
          <w:lang w:eastAsia="ar-MA" w:bidi="ar-MA"/>
        </w:rPr>
        <w:t xml:space="preserve"> en 2021</w:t>
      </w:r>
      <w:r w:rsidR="007216E5">
        <w:rPr>
          <w:lang w:eastAsia="ar-MA" w:bidi="ar-MA"/>
        </w:rPr>
        <w:t xml:space="preserve"> et 0,8 points en 2022</w:t>
      </w:r>
      <w:r w:rsidRPr="00452B7D">
        <w:rPr>
          <w:lang w:eastAsia="ar-MA" w:bidi="ar-MA"/>
        </w:rPr>
        <w:t>.</w:t>
      </w:r>
    </w:p>
    <w:p w:rsidR="00452B7D" w:rsidRPr="00452B7D" w:rsidRDefault="00452B7D" w:rsidP="00DE760F">
      <w:pPr>
        <w:ind w:left="-567" w:firstLine="709"/>
        <w:jc w:val="both"/>
        <w:rPr>
          <w:sz w:val="10"/>
          <w:szCs w:val="10"/>
          <w:lang w:eastAsia="ar-MA" w:bidi="ar-MA"/>
        </w:rPr>
      </w:pPr>
    </w:p>
    <w:p w:rsidR="00685959" w:rsidRDefault="00685959" w:rsidP="003167AA">
      <w:pPr>
        <w:tabs>
          <w:tab w:val="left" w:pos="9356"/>
        </w:tabs>
        <w:ind w:left="-426" w:firstLine="567"/>
        <w:jc w:val="both"/>
        <w:rPr>
          <w:rFonts w:asciiTheme="majorBidi" w:hAnsiTheme="majorBidi" w:cstheme="majorBidi"/>
        </w:rPr>
      </w:pPr>
      <w:r w:rsidRPr="0098430E">
        <w:rPr>
          <w:rFonts w:asciiTheme="majorBidi" w:hAnsiTheme="majorBidi" w:cstheme="majorBidi"/>
          <w:b/>
          <w:bCs/>
          <w:noProof/>
          <w:color w:val="000000" w:themeColor="text1"/>
          <w:sz w:val="24"/>
          <w:szCs w:val="24"/>
          <w:shd w:val="clear" w:color="auto" w:fill="000000" w:themeFill="text1"/>
        </w:rPr>
        <w:drawing>
          <wp:inline distT="0" distB="0" distL="0" distR="0">
            <wp:extent cx="5967046" cy="3017520"/>
            <wp:effectExtent l="0" t="0" r="15240" b="11430"/>
            <wp:docPr id="2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2B7D" w:rsidRPr="00294648" w:rsidRDefault="00452B7D" w:rsidP="00E725EB">
      <w:pPr>
        <w:rPr>
          <w:b/>
          <w:bCs/>
          <w:sz w:val="16"/>
          <w:szCs w:val="16"/>
        </w:rPr>
      </w:pPr>
      <w:r w:rsidRPr="00294648">
        <w:rPr>
          <w:b/>
          <w:bCs/>
          <w:sz w:val="16"/>
          <w:szCs w:val="16"/>
        </w:rPr>
        <w:t>Source : HCP</w:t>
      </w:r>
    </w:p>
    <w:p w:rsidR="002A3E84" w:rsidRPr="003D3916" w:rsidRDefault="002A3E84" w:rsidP="00685959">
      <w:pPr>
        <w:ind w:left="-567" w:firstLine="709"/>
        <w:jc w:val="both"/>
        <w:rPr>
          <w:rFonts w:asciiTheme="majorBidi" w:hAnsiTheme="majorBidi" w:cstheme="majorBidi"/>
          <w:sz w:val="10"/>
          <w:szCs w:val="10"/>
        </w:rPr>
      </w:pPr>
    </w:p>
    <w:p w:rsidR="00DA6532" w:rsidRPr="00A87EFE" w:rsidRDefault="00DA6532" w:rsidP="00ED7277">
      <w:pPr>
        <w:pStyle w:val="Titre2"/>
        <w:numPr>
          <w:ilvl w:val="0"/>
          <w:numId w:val="10"/>
        </w:numPr>
        <w:rPr>
          <w:rFonts w:asciiTheme="minorHAnsi" w:hAnsiTheme="minorHAnsi"/>
          <w:color w:val="E36C0A" w:themeColor="accent6" w:themeShade="BF"/>
        </w:rPr>
      </w:pPr>
      <w:bookmarkStart w:id="15" w:name="_Toc183085617"/>
      <w:r w:rsidRPr="00A87EFE">
        <w:rPr>
          <w:rFonts w:asciiTheme="minorHAnsi" w:hAnsiTheme="minorHAnsi"/>
          <w:color w:val="E36C0A" w:themeColor="accent6" w:themeShade="BF"/>
        </w:rPr>
        <w:t xml:space="preserve">Evolution </w:t>
      </w:r>
      <w:r w:rsidR="00DD1ED4">
        <w:rPr>
          <w:rFonts w:asciiTheme="minorHAnsi" w:hAnsiTheme="minorHAnsi"/>
          <w:color w:val="E36C0A" w:themeColor="accent6" w:themeShade="BF"/>
        </w:rPr>
        <w:t>annuelle</w:t>
      </w:r>
      <w:r w:rsidRPr="00A87EFE">
        <w:rPr>
          <w:rFonts w:asciiTheme="minorHAnsi" w:hAnsiTheme="minorHAnsi"/>
          <w:color w:val="E36C0A" w:themeColor="accent6" w:themeShade="BF"/>
        </w:rPr>
        <w:t xml:space="preserve"> de</w:t>
      </w:r>
      <w:r w:rsidR="00B94824">
        <w:rPr>
          <w:rFonts w:asciiTheme="minorHAnsi" w:hAnsiTheme="minorHAnsi"/>
          <w:color w:val="E36C0A" w:themeColor="accent6" w:themeShade="BF"/>
        </w:rPr>
        <w:t xml:space="preserve"> l’</w:t>
      </w:r>
      <w:r w:rsidRPr="00A87EFE">
        <w:rPr>
          <w:rFonts w:asciiTheme="minorHAnsi" w:hAnsiTheme="minorHAnsi"/>
          <w:color w:val="E36C0A" w:themeColor="accent6" w:themeShade="BF"/>
        </w:rPr>
        <w:t>indice</w:t>
      </w:r>
      <w:r w:rsidR="00DD1ED4">
        <w:rPr>
          <w:rFonts w:asciiTheme="minorHAnsi" w:hAnsiTheme="minorHAnsi"/>
          <w:color w:val="E36C0A" w:themeColor="accent6" w:themeShade="BF"/>
        </w:rPr>
        <w:t xml:space="preserve">par divisionde produits entre </w:t>
      </w:r>
      <w:r w:rsidR="00ED7277">
        <w:rPr>
          <w:rFonts w:asciiTheme="minorHAnsi" w:hAnsiTheme="minorHAnsi"/>
          <w:color w:val="E36C0A" w:themeColor="accent6" w:themeShade="BF"/>
        </w:rPr>
        <w:t>2021</w:t>
      </w:r>
      <w:r w:rsidR="00DD1ED4">
        <w:rPr>
          <w:rFonts w:asciiTheme="minorHAnsi" w:hAnsiTheme="minorHAnsi"/>
          <w:color w:val="E36C0A" w:themeColor="accent6" w:themeShade="BF"/>
        </w:rPr>
        <w:t xml:space="preserve"> et</w:t>
      </w:r>
      <w:r w:rsidR="00ED7277">
        <w:rPr>
          <w:rFonts w:asciiTheme="minorHAnsi" w:hAnsiTheme="minorHAnsi"/>
          <w:color w:val="E36C0A" w:themeColor="accent6" w:themeShade="BF"/>
        </w:rPr>
        <w:t>2022</w:t>
      </w:r>
      <w:bookmarkEnd w:id="15"/>
    </w:p>
    <w:p w:rsidR="0079763A" w:rsidRDefault="0079763A" w:rsidP="00AA0F08">
      <w:pPr>
        <w:widowControl w:val="0"/>
        <w:autoSpaceDE w:val="0"/>
        <w:autoSpaceDN w:val="0"/>
        <w:adjustRightInd w:val="0"/>
        <w:spacing w:before="120" w:after="120"/>
        <w:ind w:left="-567" w:firstLine="708"/>
        <w:jc w:val="both"/>
        <w:rPr>
          <w:lang w:eastAsia="ar-MA" w:bidi="ar-MA"/>
        </w:rPr>
      </w:pPr>
    </w:p>
    <w:p w:rsidR="00DA6532" w:rsidRDefault="00DA6532" w:rsidP="00AA0F08">
      <w:pPr>
        <w:widowControl w:val="0"/>
        <w:autoSpaceDE w:val="0"/>
        <w:autoSpaceDN w:val="0"/>
        <w:adjustRightInd w:val="0"/>
        <w:spacing w:before="120" w:after="120"/>
        <w:ind w:left="-567" w:firstLine="708"/>
        <w:jc w:val="both"/>
        <w:rPr>
          <w:lang w:eastAsia="ar-MA" w:bidi="ar-MA"/>
        </w:rPr>
      </w:pPr>
      <w:r w:rsidRPr="00BD5F55">
        <w:rPr>
          <w:lang w:eastAsia="ar-MA" w:bidi="ar-MA"/>
        </w:rPr>
        <w:t xml:space="preserve">Au terme de l’année </w:t>
      </w:r>
      <w:r w:rsidR="00ED7277">
        <w:rPr>
          <w:lang w:eastAsia="ar-MA" w:bidi="ar-MA"/>
        </w:rPr>
        <w:t>2022</w:t>
      </w:r>
      <w:r w:rsidRPr="00BD5F55">
        <w:rPr>
          <w:lang w:eastAsia="ar-MA" w:bidi="ar-MA"/>
        </w:rPr>
        <w:t xml:space="preserve">, l’indice annuel moyen à Rabat a évolué de </w:t>
      </w:r>
      <w:r w:rsidR="00AA0F08">
        <w:rPr>
          <w:lang w:eastAsia="ar-MA" w:bidi="ar-MA"/>
        </w:rPr>
        <w:t>6</w:t>
      </w:r>
      <w:r w:rsidRPr="00BD5F55">
        <w:rPr>
          <w:lang w:eastAsia="ar-MA" w:bidi="ar-MA"/>
        </w:rPr>
        <w:t>,</w:t>
      </w:r>
      <w:r w:rsidR="00AA0F08">
        <w:rPr>
          <w:lang w:eastAsia="ar-MA" w:bidi="ar-MA"/>
        </w:rPr>
        <w:t>0</w:t>
      </w:r>
      <w:r w:rsidR="00A34476" w:rsidRPr="00BD5F55">
        <w:rPr>
          <w:lang w:eastAsia="ar-MA" w:bidi="ar-MA"/>
        </w:rPr>
        <w:t>% par</w:t>
      </w:r>
      <w:r w:rsidRPr="00BD5F55">
        <w:rPr>
          <w:lang w:eastAsia="ar-MA" w:bidi="ar-MA"/>
        </w:rPr>
        <w:t xml:space="preserve"> rapport à celui de l’année </w:t>
      </w:r>
      <w:r w:rsidR="00AA0F08">
        <w:rPr>
          <w:lang w:eastAsia="ar-MA" w:bidi="ar-MA"/>
        </w:rPr>
        <w:t>2021</w:t>
      </w:r>
      <w:r w:rsidRPr="00BD5F55">
        <w:rPr>
          <w:lang w:eastAsia="ar-MA" w:bidi="ar-MA"/>
        </w:rPr>
        <w:t xml:space="preserve"> contre </w:t>
      </w:r>
      <w:r w:rsidR="00AA0F08">
        <w:rPr>
          <w:lang w:eastAsia="ar-MA" w:bidi="ar-MA"/>
        </w:rPr>
        <w:t>6</w:t>
      </w:r>
      <w:r w:rsidRPr="00BD5F55">
        <w:rPr>
          <w:lang w:eastAsia="ar-MA" w:bidi="ar-MA"/>
        </w:rPr>
        <w:t>,</w:t>
      </w:r>
      <w:r w:rsidR="00AA0F08">
        <w:rPr>
          <w:lang w:eastAsia="ar-MA" w:bidi="ar-MA"/>
        </w:rPr>
        <w:t>6</w:t>
      </w:r>
      <w:r w:rsidR="00E949BA">
        <w:rPr>
          <w:lang w:eastAsia="ar-MA" w:bidi="ar-MA"/>
        </w:rPr>
        <w:t xml:space="preserve">% </w:t>
      </w:r>
      <w:r w:rsidRPr="00BD5F55">
        <w:rPr>
          <w:lang w:eastAsia="ar-MA" w:bidi="ar-MA"/>
        </w:rPr>
        <w:t>au niveau national</w:t>
      </w:r>
      <w:r w:rsidR="00452B7D">
        <w:rPr>
          <w:lang w:eastAsia="ar-MA" w:bidi="ar-MA"/>
        </w:rPr>
        <w:t>. I</w:t>
      </w:r>
      <w:r>
        <w:rPr>
          <w:lang w:eastAsia="ar-MA" w:bidi="ar-MA"/>
        </w:rPr>
        <w:t xml:space="preserve">l </w:t>
      </w:r>
      <w:r w:rsidR="0047109A">
        <w:rPr>
          <w:lang w:eastAsia="ar-MA" w:bidi="ar-MA"/>
        </w:rPr>
        <w:t>a</w:t>
      </w:r>
      <w:r>
        <w:rPr>
          <w:lang w:eastAsia="ar-MA" w:bidi="ar-MA"/>
        </w:rPr>
        <w:t xml:space="preserve"> passé de </w:t>
      </w:r>
      <w:r w:rsidR="00AA0F08">
        <w:rPr>
          <w:lang w:eastAsia="ar-MA" w:bidi="ar-MA"/>
        </w:rPr>
        <w:t>103,8</w:t>
      </w:r>
      <w:r>
        <w:rPr>
          <w:lang w:eastAsia="ar-MA" w:bidi="ar-MA"/>
        </w:rPr>
        <w:t xml:space="preserve"> en </w:t>
      </w:r>
      <w:r w:rsidR="00AA0F08">
        <w:rPr>
          <w:lang w:eastAsia="ar-MA" w:bidi="ar-MA"/>
        </w:rPr>
        <w:t>2021</w:t>
      </w:r>
      <w:r>
        <w:rPr>
          <w:lang w:eastAsia="ar-MA" w:bidi="ar-MA"/>
        </w:rPr>
        <w:t xml:space="preserve"> à </w:t>
      </w:r>
      <w:r w:rsidR="00AA0F08">
        <w:rPr>
          <w:lang w:eastAsia="ar-MA" w:bidi="ar-MA"/>
        </w:rPr>
        <w:t>110</w:t>
      </w:r>
      <w:r w:rsidR="0064705A">
        <w:rPr>
          <w:lang w:eastAsia="ar-MA" w:bidi="ar-MA"/>
        </w:rPr>
        <w:t>,</w:t>
      </w:r>
      <w:r w:rsidR="00AA0F08">
        <w:rPr>
          <w:lang w:eastAsia="ar-MA" w:bidi="ar-MA"/>
        </w:rPr>
        <w:t>0</w:t>
      </w:r>
      <w:r>
        <w:rPr>
          <w:lang w:eastAsia="ar-MA" w:bidi="ar-MA"/>
        </w:rPr>
        <w:t xml:space="preserve"> en </w:t>
      </w:r>
      <w:r w:rsidR="00AA0F08">
        <w:rPr>
          <w:lang w:eastAsia="ar-MA" w:bidi="ar-MA"/>
        </w:rPr>
        <w:t>2022</w:t>
      </w:r>
      <w:r>
        <w:rPr>
          <w:lang w:eastAsia="ar-MA" w:bidi="ar-MA"/>
        </w:rPr>
        <w:t xml:space="preserve"> dans la ville de Rabat contre respectivement </w:t>
      </w:r>
      <w:r w:rsidR="00AA0F08">
        <w:rPr>
          <w:lang w:eastAsia="ar-MA" w:bidi="ar-MA"/>
        </w:rPr>
        <w:t>103,9%</w:t>
      </w:r>
      <w:r>
        <w:rPr>
          <w:lang w:eastAsia="ar-MA" w:bidi="ar-MA"/>
        </w:rPr>
        <w:t xml:space="preserve"> et </w:t>
      </w:r>
      <w:r w:rsidR="00AA0F08">
        <w:rPr>
          <w:lang w:eastAsia="ar-MA" w:bidi="ar-MA"/>
        </w:rPr>
        <w:t>110</w:t>
      </w:r>
      <w:r>
        <w:rPr>
          <w:lang w:eastAsia="ar-MA" w:bidi="ar-MA"/>
        </w:rPr>
        <w:t>,</w:t>
      </w:r>
      <w:r w:rsidR="00AA0F08">
        <w:rPr>
          <w:lang w:eastAsia="ar-MA" w:bidi="ar-MA"/>
        </w:rPr>
        <w:t>8</w:t>
      </w:r>
      <w:r>
        <w:rPr>
          <w:lang w:eastAsia="ar-MA" w:bidi="ar-MA"/>
        </w:rPr>
        <w:t xml:space="preserve"> à l’échelle nationale.</w:t>
      </w:r>
    </w:p>
    <w:p w:rsidR="0079763A" w:rsidRPr="0079763A" w:rsidRDefault="0079763A" w:rsidP="00AA0F08">
      <w:pPr>
        <w:widowControl w:val="0"/>
        <w:autoSpaceDE w:val="0"/>
        <w:autoSpaceDN w:val="0"/>
        <w:adjustRightInd w:val="0"/>
        <w:spacing w:before="120" w:after="120"/>
        <w:ind w:left="-567" w:firstLine="708"/>
        <w:jc w:val="both"/>
        <w:rPr>
          <w:sz w:val="12"/>
          <w:szCs w:val="12"/>
          <w:lang w:eastAsia="ar-MA" w:bidi="ar-MA"/>
        </w:rPr>
      </w:pPr>
    </w:p>
    <w:p w:rsidR="00C756FD" w:rsidRDefault="009E4AF4" w:rsidP="008C269F">
      <w:pPr>
        <w:widowControl w:val="0"/>
        <w:autoSpaceDE w:val="0"/>
        <w:autoSpaceDN w:val="0"/>
        <w:adjustRightInd w:val="0"/>
        <w:spacing w:before="120" w:after="120"/>
        <w:ind w:left="-567" w:firstLine="708"/>
        <w:jc w:val="both"/>
        <w:rPr>
          <w:lang w:eastAsia="ar-MA" w:bidi="ar-MA"/>
        </w:rPr>
      </w:pPr>
      <w:r>
        <w:rPr>
          <w:lang w:eastAsia="ar-MA" w:bidi="ar-MA"/>
        </w:rPr>
        <w:t>Ce niveau d’inflation se traduit parla</w:t>
      </w:r>
      <w:r w:rsidR="0047109A">
        <w:rPr>
          <w:lang w:eastAsia="ar-MA" w:bidi="ar-MA"/>
        </w:rPr>
        <w:t>hausse</w:t>
      </w:r>
      <w:r w:rsidR="00C756FD" w:rsidRPr="00BD5F55">
        <w:rPr>
          <w:lang w:eastAsia="ar-MA" w:bidi="ar-MA"/>
        </w:rPr>
        <w:t xml:space="preserve"> de l’indice des prix </w:t>
      </w:r>
      <w:r w:rsidR="008E1380">
        <w:rPr>
          <w:lang w:eastAsia="ar-MA" w:bidi="ar-MA"/>
        </w:rPr>
        <w:t xml:space="preserve">que ce soit </w:t>
      </w:r>
      <w:r w:rsidR="00C756FD" w:rsidRPr="00BD5F55">
        <w:rPr>
          <w:lang w:eastAsia="ar-MA" w:bidi="ar-MA"/>
        </w:rPr>
        <w:t xml:space="preserve">des produits alimentaires </w:t>
      </w:r>
      <w:r w:rsidR="008E1380">
        <w:rPr>
          <w:lang w:eastAsia="ar-MA" w:bidi="ar-MA"/>
        </w:rPr>
        <w:t xml:space="preserve">ou </w:t>
      </w:r>
      <w:r>
        <w:rPr>
          <w:lang w:eastAsia="ar-MA" w:bidi="ar-MA"/>
        </w:rPr>
        <w:t>d</w:t>
      </w:r>
      <w:r w:rsidR="008E1380">
        <w:rPr>
          <w:lang w:eastAsia="ar-MA" w:bidi="ar-MA"/>
        </w:rPr>
        <w:t>es produits non alimentaires avec1</w:t>
      </w:r>
      <w:r w:rsidR="008C269F">
        <w:rPr>
          <w:lang w:eastAsia="ar-MA" w:bidi="ar-MA"/>
        </w:rPr>
        <w:t>0</w:t>
      </w:r>
      <w:r w:rsidR="00C756FD" w:rsidRPr="00BD5F55">
        <w:rPr>
          <w:lang w:eastAsia="ar-MA" w:bidi="ar-MA"/>
        </w:rPr>
        <w:t>,</w:t>
      </w:r>
      <w:r w:rsidR="008C269F">
        <w:rPr>
          <w:lang w:eastAsia="ar-MA" w:bidi="ar-MA"/>
        </w:rPr>
        <w:t>1</w:t>
      </w:r>
      <w:r w:rsidR="00C756FD" w:rsidRPr="00BD5F55">
        <w:rPr>
          <w:lang w:eastAsia="ar-MA" w:bidi="ar-MA"/>
        </w:rPr>
        <w:t xml:space="preserve">% </w:t>
      </w:r>
      <w:r w:rsidR="008E1380">
        <w:rPr>
          <w:lang w:eastAsia="ar-MA" w:bidi="ar-MA"/>
        </w:rPr>
        <w:t>et de</w:t>
      </w:r>
      <w:r w:rsidR="008C269F">
        <w:rPr>
          <w:lang w:eastAsia="ar-MA" w:bidi="ar-MA"/>
        </w:rPr>
        <w:t>3</w:t>
      </w:r>
      <w:r w:rsidR="008F7131">
        <w:rPr>
          <w:lang w:eastAsia="ar-MA" w:bidi="ar-MA"/>
        </w:rPr>
        <w:t>,</w:t>
      </w:r>
      <w:r w:rsidR="008C269F">
        <w:rPr>
          <w:lang w:eastAsia="ar-MA" w:bidi="ar-MA"/>
        </w:rPr>
        <w:t>7</w:t>
      </w:r>
      <w:r w:rsidR="00C756FD" w:rsidRPr="00BD5F55">
        <w:rPr>
          <w:lang w:eastAsia="ar-MA" w:bidi="ar-MA"/>
        </w:rPr>
        <w:t xml:space="preserve">% </w:t>
      </w:r>
      <w:r w:rsidR="00C756FD">
        <w:rPr>
          <w:lang w:eastAsia="ar-MA" w:bidi="ar-MA"/>
        </w:rPr>
        <w:t>(</w:t>
      </w:r>
      <w:r>
        <w:rPr>
          <w:lang w:eastAsia="ar-MA" w:bidi="ar-MA"/>
        </w:rPr>
        <w:t xml:space="preserve">contre respectivement </w:t>
      </w:r>
      <w:r w:rsidR="008F7131">
        <w:rPr>
          <w:lang w:eastAsia="ar-MA" w:bidi="ar-MA"/>
        </w:rPr>
        <w:t>+</w:t>
      </w:r>
      <w:r w:rsidR="008C269F">
        <w:rPr>
          <w:lang w:eastAsia="ar-MA" w:bidi="ar-MA"/>
        </w:rPr>
        <w:t>1</w:t>
      </w:r>
      <w:r w:rsidR="008F7131">
        <w:rPr>
          <w:lang w:eastAsia="ar-MA" w:bidi="ar-MA"/>
        </w:rPr>
        <w:t>0,</w:t>
      </w:r>
      <w:r w:rsidR="008C269F">
        <w:rPr>
          <w:lang w:eastAsia="ar-MA" w:bidi="ar-MA"/>
        </w:rPr>
        <w:t>9</w:t>
      </w:r>
      <w:r w:rsidR="00C756FD" w:rsidRPr="00BD5F55">
        <w:rPr>
          <w:lang w:eastAsia="ar-MA" w:bidi="ar-MA"/>
        </w:rPr>
        <w:t>% et +</w:t>
      </w:r>
      <w:r w:rsidR="008C269F">
        <w:rPr>
          <w:lang w:eastAsia="ar-MA" w:bidi="ar-MA"/>
        </w:rPr>
        <w:t>3</w:t>
      </w:r>
      <w:r w:rsidR="008F7131">
        <w:rPr>
          <w:lang w:eastAsia="ar-MA" w:bidi="ar-MA"/>
        </w:rPr>
        <w:t>,9</w:t>
      </w:r>
      <w:r w:rsidR="00C756FD" w:rsidRPr="00BD5F55">
        <w:rPr>
          <w:lang w:eastAsia="ar-MA" w:bidi="ar-MA"/>
        </w:rPr>
        <w:t xml:space="preserve"> % à l’échelle nationale</w:t>
      </w:r>
      <w:r w:rsidR="00C756FD">
        <w:rPr>
          <w:lang w:eastAsia="ar-MA" w:bidi="ar-MA"/>
        </w:rPr>
        <w:t>)</w:t>
      </w:r>
      <w:r w:rsidR="00C756FD" w:rsidRPr="00BD5F55">
        <w:rPr>
          <w:lang w:eastAsia="ar-MA" w:bidi="ar-MA"/>
        </w:rPr>
        <w:t>.</w:t>
      </w:r>
    </w:p>
    <w:p w:rsidR="0079763A" w:rsidRPr="0079763A" w:rsidRDefault="0079763A" w:rsidP="008C269F">
      <w:pPr>
        <w:widowControl w:val="0"/>
        <w:autoSpaceDE w:val="0"/>
        <w:autoSpaceDN w:val="0"/>
        <w:adjustRightInd w:val="0"/>
        <w:spacing w:before="120" w:after="120"/>
        <w:ind w:left="-567" w:firstLine="708"/>
        <w:jc w:val="both"/>
        <w:rPr>
          <w:sz w:val="12"/>
          <w:szCs w:val="12"/>
          <w:lang w:eastAsia="ar-MA" w:bidi="ar-MA"/>
        </w:rPr>
      </w:pPr>
    </w:p>
    <w:p w:rsidR="00C756FD" w:rsidRDefault="00C756FD" w:rsidP="008C269F">
      <w:pPr>
        <w:tabs>
          <w:tab w:val="right" w:pos="993"/>
          <w:tab w:val="right" w:pos="5051"/>
        </w:tabs>
        <w:spacing w:before="120" w:after="120"/>
        <w:ind w:left="-567" w:firstLine="709"/>
        <w:jc w:val="both"/>
        <w:rPr>
          <w:lang w:eastAsia="ar-MA" w:bidi="ar-MA"/>
        </w:rPr>
      </w:pPr>
      <w:r w:rsidRPr="008D57B1">
        <w:rPr>
          <w:lang w:eastAsia="ar-MA" w:bidi="ar-MA"/>
        </w:rPr>
        <w:tab/>
      </w:r>
      <w:r w:rsidR="00A34476" w:rsidRPr="008D57B1">
        <w:rPr>
          <w:lang w:eastAsia="ar-MA" w:bidi="ar-MA"/>
        </w:rPr>
        <w:t>Concernant les</w:t>
      </w:r>
      <w:r w:rsidRPr="008D57B1">
        <w:rPr>
          <w:lang w:eastAsia="ar-MA" w:bidi="ar-MA"/>
        </w:rPr>
        <w:t xml:space="preserve"> produits alimentaires, </w:t>
      </w:r>
      <w:r w:rsidR="008E1380">
        <w:rPr>
          <w:lang w:eastAsia="ar-MA" w:bidi="ar-MA"/>
        </w:rPr>
        <w:t>l’augmentation</w:t>
      </w:r>
      <w:r w:rsidRPr="008D57B1">
        <w:rPr>
          <w:lang w:eastAsia="ar-MA" w:bidi="ar-MA"/>
        </w:rPr>
        <w:t xml:space="preserve"> de son </w:t>
      </w:r>
      <w:r w:rsidR="00A34476" w:rsidRPr="008D57B1">
        <w:rPr>
          <w:lang w:eastAsia="ar-MA" w:bidi="ar-MA"/>
        </w:rPr>
        <w:t>indice est</w:t>
      </w:r>
      <w:r w:rsidRPr="008D57B1">
        <w:rPr>
          <w:lang w:eastAsia="ar-MA" w:bidi="ar-MA"/>
        </w:rPr>
        <w:t xml:space="preserve"> due </w:t>
      </w:r>
      <w:r>
        <w:rPr>
          <w:lang w:eastAsia="ar-MA" w:bidi="ar-MA"/>
        </w:rPr>
        <w:t xml:space="preserve">essentiellement </w:t>
      </w:r>
      <w:r w:rsidRPr="008D57B1">
        <w:rPr>
          <w:lang w:eastAsia="ar-MA" w:bidi="ar-MA"/>
        </w:rPr>
        <w:t xml:space="preserve">à </w:t>
      </w:r>
      <w:r>
        <w:rPr>
          <w:lang w:eastAsia="ar-MA" w:bidi="ar-MA"/>
        </w:rPr>
        <w:t xml:space="preserve">la </w:t>
      </w:r>
      <w:r w:rsidR="008E1380">
        <w:rPr>
          <w:lang w:eastAsia="ar-MA" w:bidi="ar-MA"/>
        </w:rPr>
        <w:t>hausse</w:t>
      </w:r>
      <w:r w:rsidRPr="008D57B1">
        <w:rPr>
          <w:lang w:eastAsia="ar-MA" w:bidi="ar-MA"/>
        </w:rPr>
        <w:t xml:space="preserve"> de l’indice de la division « Produits alimentaires et</w:t>
      </w:r>
      <w:r>
        <w:rPr>
          <w:lang w:eastAsia="ar-MA" w:bidi="ar-MA"/>
        </w:rPr>
        <w:t xml:space="preserve"> boissons non alcoolisées » de</w:t>
      </w:r>
      <w:r w:rsidR="008C269F">
        <w:rPr>
          <w:lang w:eastAsia="ar-MA" w:bidi="ar-MA"/>
        </w:rPr>
        <w:t>1</w:t>
      </w:r>
      <w:r w:rsidR="004335E1">
        <w:rPr>
          <w:lang w:eastAsia="ar-MA" w:bidi="ar-MA"/>
        </w:rPr>
        <w:t>0,</w:t>
      </w:r>
      <w:r w:rsidR="008C269F">
        <w:rPr>
          <w:lang w:eastAsia="ar-MA" w:bidi="ar-MA"/>
        </w:rPr>
        <w:t>4</w:t>
      </w:r>
      <w:r w:rsidRPr="008D57B1">
        <w:rPr>
          <w:lang w:eastAsia="ar-MA" w:bidi="ar-MA"/>
        </w:rPr>
        <w:t xml:space="preserve">% </w:t>
      </w:r>
      <w:r w:rsidR="008E1380">
        <w:rPr>
          <w:lang w:eastAsia="ar-MA" w:bidi="ar-MA"/>
        </w:rPr>
        <w:t>et</w:t>
      </w:r>
      <w:r>
        <w:rPr>
          <w:lang w:eastAsia="ar-MA" w:bidi="ar-MA"/>
        </w:rPr>
        <w:t xml:space="preserve"> de </w:t>
      </w:r>
      <w:r w:rsidR="00A34476">
        <w:rPr>
          <w:lang w:eastAsia="ar-MA" w:bidi="ar-MA"/>
        </w:rPr>
        <w:t>celui de</w:t>
      </w:r>
      <w:r w:rsidRPr="008D57B1">
        <w:rPr>
          <w:lang w:eastAsia="ar-MA" w:bidi="ar-MA"/>
        </w:rPr>
        <w:t xml:space="preserve">la </w:t>
      </w:r>
      <w:r w:rsidR="00A34476" w:rsidRPr="008D57B1">
        <w:rPr>
          <w:lang w:eastAsia="ar-MA" w:bidi="ar-MA"/>
        </w:rPr>
        <w:t>division</w:t>
      </w:r>
      <w:r w:rsidR="004335E1">
        <w:rPr>
          <w:lang w:eastAsia="ar-MA" w:bidi="ar-MA"/>
        </w:rPr>
        <w:t xml:space="preserve"> des</w:t>
      </w:r>
      <w:r w:rsidR="00A34476" w:rsidRPr="008D57B1">
        <w:rPr>
          <w:lang w:eastAsia="ar-MA" w:bidi="ar-MA"/>
        </w:rPr>
        <w:t xml:space="preserve"> «</w:t>
      </w:r>
      <w:r w:rsidRPr="008D57B1">
        <w:rPr>
          <w:lang w:eastAsia="ar-MA" w:bidi="ar-MA"/>
        </w:rPr>
        <w:t xml:space="preserve"> Boissons alcoolisées, tabac et stupéfiants » </w:t>
      </w:r>
      <w:r w:rsidR="00452B7D">
        <w:rPr>
          <w:lang w:eastAsia="ar-MA" w:bidi="ar-MA"/>
        </w:rPr>
        <w:t>de</w:t>
      </w:r>
      <w:r w:rsidR="004335E1">
        <w:rPr>
          <w:lang w:eastAsia="ar-MA" w:bidi="ar-MA"/>
        </w:rPr>
        <w:t xml:space="preserve"> 3,</w:t>
      </w:r>
      <w:r w:rsidR="008C269F">
        <w:rPr>
          <w:lang w:eastAsia="ar-MA" w:bidi="ar-MA"/>
        </w:rPr>
        <w:t>5</w:t>
      </w:r>
      <w:r w:rsidRPr="008D57B1">
        <w:rPr>
          <w:lang w:eastAsia="ar-MA" w:bidi="ar-MA"/>
        </w:rPr>
        <w:t xml:space="preserve">% contre respectivement </w:t>
      </w:r>
      <w:r w:rsidR="00321A72">
        <w:rPr>
          <w:lang w:eastAsia="ar-MA" w:bidi="ar-MA"/>
        </w:rPr>
        <w:t>+</w:t>
      </w:r>
      <w:r w:rsidR="008C269F">
        <w:rPr>
          <w:lang w:eastAsia="ar-MA" w:bidi="ar-MA"/>
        </w:rPr>
        <w:t>11</w:t>
      </w:r>
      <w:r w:rsidR="004335E1">
        <w:rPr>
          <w:lang w:eastAsia="ar-MA" w:bidi="ar-MA"/>
        </w:rPr>
        <w:t>,</w:t>
      </w:r>
      <w:r w:rsidR="008C269F">
        <w:rPr>
          <w:lang w:eastAsia="ar-MA" w:bidi="ar-MA"/>
        </w:rPr>
        <w:t>3</w:t>
      </w:r>
      <w:r w:rsidRPr="008D57B1">
        <w:rPr>
          <w:lang w:eastAsia="ar-MA" w:bidi="ar-MA"/>
        </w:rPr>
        <w:t xml:space="preserve">% et </w:t>
      </w:r>
      <w:r>
        <w:rPr>
          <w:lang w:eastAsia="ar-MA" w:bidi="ar-MA"/>
        </w:rPr>
        <w:t>+</w:t>
      </w:r>
      <w:r w:rsidR="004335E1">
        <w:rPr>
          <w:lang w:eastAsia="ar-MA" w:bidi="ar-MA"/>
        </w:rPr>
        <w:t>3,</w:t>
      </w:r>
      <w:r w:rsidR="008C269F">
        <w:rPr>
          <w:lang w:eastAsia="ar-MA" w:bidi="ar-MA"/>
        </w:rPr>
        <w:t>4</w:t>
      </w:r>
      <w:r>
        <w:rPr>
          <w:lang w:eastAsia="ar-MA" w:bidi="ar-MA"/>
        </w:rPr>
        <w:t>%</w:t>
      </w:r>
      <w:r w:rsidRPr="008D57B1">
        <w:rPr>
          <w:lang w:eastAsia="ar-MA" w:bidi="ar-MA"/>
        </w:rPr>
        <w:t xml:space="preserve"> au niveau national.</w:t>
      </w:r>
    </w:p>
    <w:p w:rsidR="0079763A" w:rsidRPr="0079763A" w:rsidRDefault="0079763A" w:rsidP="008C269F">
      <w:pPr>
        <w:tabs>
          <w:tab w:val="right" w:pos="993"/>
          <w:tab w:val="right" w:pos="5051"/>
        </w:tabs>
        <w:spacing w:before="120" w:after="120"/>
        <w:ind w:left="-567" w:firstLine="709"/>
        <w:jc w:val="both"/>
        <w:rPr>
          <w:sz w:val="12"/>
          <w:szCs w:val="12"/>
          <w:lang w:eastAsia="ar-MA" w:bidi="ar-MA"/>
        </w:rPr>
      </w:pPr>
    </w:p>
    <w:p w:rsidR="00ED2FB4" w:rsidRDefault="00C756FD" w:rsidP="00183DFA">
      <w:pPr>
        <w:tabs>
          <w:tab w:val="right" w:pos="993"/>
          <w:tab w:val="right" w:pos="5051"/>
        </w:tabs>
        <w:spacing w:before="120" w:after="120"/>
        <w:ind w:left="-567" w:firstLine="709"/>
        <w:jc w:val="both"/>
        <w:rPr>
          <w:lang w:eastAsia="ar-MA" w:bidi="ar-MA"/>
        </w:rPr>
      </w:pPr>
      <w:r w:rsidRPr="008D57B1">
        <w:rPr>
          <w:lang w:eastAsia="ar-MA" w:bidi="ar-MA"/>
        </w:rPr>
        <w:tab/>
      </w:r>
      <w:r>
        <w:rPr>
          <w:lang w:eastAsia="ar-MA" w:bidi="ar-MA"/>
        </w:rPr>
        <w:t xml:space="preserve">La </w:t>
      </w:r>
      <w:r w:rsidR="00E67678">
        <w:rPr>
          <w:lang w:eastAsia="ar-MA" w:bidi="ar-MA"/>
        </w:rPr>
        <w:t>croissance</w:t>
      </w:r>
      <w:r w:rsidRPr="00810411">
        <w:rPr>
          <w:lang w:eastAsia="ar-MA" w:bidi="ar-MA"/>
        </w:rPr>
        <w:t xml:space="preserve"> de l’indice de la division « Produits alimentaires et boissons non alcoolisées »</w:t>
      </w:r>
      <w:r w:rsidRPr="00C756FD">
        <w:rPr>
          <w:lang w:eastAsia="ar-MA" w:bidi="ar-MA"/>
        </w:rPr>
        <w:t xml:space="preserve"> est due principalement à une </w:t>
      </w:r>
      <w:r w:rsidR="00E67678">
        <w:rPr>
          <w:lang w:eastAsia="ar-MA" w:bidi="ar-MA"/>
        </w:rPr>
        <w:t>progression</w:t>
      </w:r>
      <w:r w:rsidRPr="00C756FD">
        <w:rPr>
          <w:lang w:eastAsia="ar-MA" w:bidi="ar-MA"/>
        </w:rPr>
        <w:t xml:space="preserve"> des classes</w:t>
      </w:r>
      <w:r w:rsidR="00ED2FB4">
        <w:rPr>
          <w:lang w:eastAsia="ar-MA" w:bidi="ar-MA"/>
        </w:rPr>
        <w:t xml:space="preserve"> «</w:t>
      </w:r>
      <w:r w:rsidR="00ED2FB4" w:rsidRPr="00C756FD">
        <w:rPr>
          <w:lang w:eastAsia="ar-MA" w:bidi="ar-MA"/>
        </w:rPr>
        <w:t xml:space="preserve"> Huiles et graisses »</w:t>
      </w:r>
      <w:r w:rsidR="00ED2FB4">
        <w:rPr>
          <w:lang w:eastAsia="ar-MA" w:bidi="ar-MA"/>
        </w:rPr>
        <w:t>,</w:t>
      </w:r>
      <w:r w:rsidR="00ED2FB4" w:rsidRPr="00C756FD">
        <w:rPr>
          <w:lang w:eastAsia="ar-MA" w:bidi="ar-MA"/>
        </w:rPr>
        <w:t>« Pain et céréales »</w:t>
      </w:r>
      <w:r w:rsidR="00ED2FB4">
        <w:rPr>
          <w:lang w:eastAsia="ar-MA" w:bidi="ar-MA"/>
        </w:rPr>
        <w:t xml:space="preserve">, </w:t>
      </w:r>
      <w:r w:rsidR="00AF501B" w:rsidRPr="00C756FD">
        <w:rPr>
          <w:lang w:eastAsia="ar-MA" w:bidi="ar-MA"/>
        </w:rPr>
        <w:t>« Légumes»</w:t>
      </w:r>
      <w:r w:rsidR="00ED2FB4" w:rsidRPr="00C756FD">
        <w:rPr>
          <w:lang w:eastAsia="ar-MA" w:bidi="ar-MA"/>
        </w:rPr>
        <w:t xml:space="preserve">« Lait, fromage </w:t>
      </w:r>
      <w:r w:rsidR="00ED2FB4" w:rsidRPr="00C756FD">
        <w:rPr>
          <w:lang w:eastAsia="ar-MA" w:bidi="ar-MA"/>
        </w:rPr>
        <w:lastRenderedPageBreak/>
        <w:t>et œufs »</w:t>
      </w:r>
      <w:r w:rsidR="00ED2FB4">
        <w:rPr>
          <w:lang w:eastAsia="ar-MA" w:bidi="ar-MA"/>
        </w:rPr>
        <w:t>,</w:t>
      </w:r>
      <w:r w:rsidR="00183DFA" w:rsidRPr="00C756FD">
        <w:rPr>
          <w:lang w:eastAsia="ar-MA" w:bidi="ar-MA"/>
        </w:rPr>
        <w:t>« Fruits »</w:t>
      </w:r>
      <w:r w:rsidR="00183DFA">
        <w:rPr>
          <w:lang w:eastAsia="ar-MA" w:bidi="ar-MA"/>
        </w:rPr>
        <w:t>,</w:t>
      </w:r>
      <w:r w:rsidR="00ED2FB4" w:rsidRPr="00C756FD">
        <w:rPr>
          <w:lang w:eastAsia="ar-MA" w:bidi="ar-MA"/>
        </w:rPr>
        <w:t>«Viande</w:t>
      </w:r>
      <w:r w:rsidR="00ED2FB4">
        <w:rPr>
          <w:lang w:eastAsia="ar-MA" w:bidi="ar-MA"/>
        </w:rPr>
        <w:t>s</w:t>
      </w:r>
      <w:r w:rsidR="00183DFA">
        <w:rPr>
          <w:lang w:eastAsia="ar-MA" w:bidi="ar-MA"/>
        </w:rPr>
        <w:t> », « Poissons et fruits de mer »,  «</w:t>
      </w:r>
      <w:r w:rsidR="00183DFA" w:rsidRPr="00C756FD">
        <w:rPr>
          <w:lang w:eastAsia="ar-MA" w:bidi="ar-MA"/>
        </w:rPr>
        <w:t>Eaux minéral</w:t>
      </w:r>
      <w:r w:rsidR="00183DFA">
        <w:rPr>
          <w:lang w:eastAsia="ar-MA" w:bidi="ar-MA"/>
        </w:rPr>
        <w:t>es et boissons rafraichissantes</w:t>
      </w:r>
      <w:r w:rsidR="00183DFA" w:rsidRPr="00C756FD">
        <w:rPr>
          <w:lang w:eastAsia="ar-MA" w:bidi="ar-MA"/>
        </w:rPr>
        <w:t>»</w:t>
      </w:r>
      <w:r w:rsidR="00183DFA">
        <w:rPr>
          <w:lang w:eastAsia="ar-MA" w:bidi="ar-MA"/>
        </w:rPr>
        <w:t xml:space="preserve">,  </w:t>
      </w:r>
      <w:r w:rsidR="00183DFA" w:rsidRPr="00C756FD">
        <w:rPr>
          <w:lang w:eastAsia="ar-MA" w:bidi="ar-MA"/>
        </w:rPr>
        <w:t xml:space="preserve">« Café, thé et cacao » </w:t>
      </w:r>
      <w:r w:rsidR="00ED2FB4">
        <w:rPr>
          <w:lang w:eastAsia="ar-MA" w:bidi="ar-MA"/>
        </w:rPr>
        <w:t xml:space="preserve">et  « Sucre, </w:t>
      </w:r>
      <w:r w:rsidR="00ED2FB4" w:rsidRPr="00ED2FB4">
        <w:rPr>
          <w:lang w:eastAsia="ar-MA" w:bidi="ar-MA"/>
        </w:rPr>
        <w:t>confiture, miel, chocolat et confiserie</w:t>
      </w:r>
      <w:r w:rsidR="00ED2FB4">
        <w:rPr>
          <w:lang w:eastAsia="ar-MA" w:bidi="ar-MA"/>
        </w:rPr>
        <w:t> »</w:t>
      </w:r>
      <w:r w:rsidR="005B254F" w:rsidRPr="00C756FD">
        <w:rPr>
          <w:lang w:eastAsia="ar-MA" w:bidi="ar-MA"/>
        </w:rPr>
        <w:t>avec des variations respectives de</w:t>
      </w:r>
      <w:r w:rsidR="00183DFA">
        <w:rPr>
          <w:lang w:eastAsia="ar-MA" w:bidi="ar-MA"/>
        </w:rPr>
        <w:t>20,9</w:t>
      </w:r>
      <w:r w:rsidR="005B254F">
        <w:rPr>
          <w:lang w:eastAsia="ar-MA" w:bidi="ar-MA"/>
        </w:rPr>
        <w:t xml:space="preserve">% ;  </w:t>
      </w:r>
      <w:r w:rsidR="00183DFA">
        <w:rPr>
          <w:lang w:eastAsia="ar-MA" w:bidi="ar-MA"/>
        </w:rPr>
        <w:t>14,7</w:t>
      </w:r>
      <w:r w:rsidR="005B254F">
        <w:rPr>
          <w:lang w:eastAsia="ar-MA" w:bidi="ar-MA"/>
        </w:rPr>
        <w:t xml:space="preserve">% ; </w:t>
      </w:r>
      <w:r w:rsidR="00183DFA">
        <w:rPr>
          <w:lang w:eastAsia="ar-MA" w:bidi="ar-MA"/>
        </w:rPr>
        <w:t>13</w:t>
      </w:r>
      <w:r w:rsidR="005B254F">
        <w:rPr>
          <w:lang w:eastAsia="ar-MA" w:bidi="ar-MA"/>
        </w:rPr>
        <w:t>,</w:t>
      </w:r>
      <w:r w:rsidR="00183DFA">
        <w:rPr>
          <w:lang w:eastAsia="ar-MA" w:bidi="ar-MA"/>
        </w:rPr>
        <w:t>6</w:t>
      </w:r>
      <w:r w:rsidR="005B254F">
        <w:rPr>
          <w:lang w:eastAsia="ar-MA" w:bidi="ar-MA"/>
        </w:rPr>
        <w:t xml:space="preserve">% ; </w:t>
      </w:r>
      <w:r w:rsidR="00183DFA">
        <w:rPr>
          <w:lang w:eastAsia="ar-MA" w:bidi="ar-MA"/>
        </w:rPr>
        <w:t>7,6</w:t>
      </w:r>
      <w:r w:rsidR="005B254F">
        <w:rPr>
          <w:lang w:eastAsia="ar-MA" w:bidi="ar-MA"/>
        </w:rPr>
        <w:t xml:space="preserve">% ; </w:t>
      </w:r>
      <w:r w:rsidR="00183DFA">
        <w:rPr>
          <w:lang w:eastAsia="ar-MA" w:bidi="ar-MA"/>
        </w:rPr>
        <w:t>6,1% ; 5,6% ; 4,1% ; 3,5% ; 0,9%  et 0,5%.</w:t>
      </w:r>
    </w:p>
    <w:p w:rsidR="00EA71A8" w:rsidRDefault="00EB07B8" w:rsidP="00183DFA">
      <w:pPr>
        <w:tabs>
          <w:tab w:val="right" w:pos="993"/>
          <w:tab w:val="right" w:pos="5051"/>
        </w:tabs>
        <w:spacing w:before="120" w:after="120"/>
        <w:ind w:left="-567" w:firstLine="709"/>
        <w:jc w:val="both"/>
        <w:rPr>
          <w:lang w:eastAsia="ar-MA" w:bidi="ar-MA"/>
        </w:rPr>
      </w:pPr>
      <w:r>
        <w:rPr>
          <w:lang w:eastAsia="ar-MA" w:bidi="ar-MA"/>
        </w:rPr>
        <w:tab/>
      </w:r>
      <w:r w:rsidR="00C756FD" w:rsidRPr="00C756FD">
        <w:rPr>
          <w:lang w:eastAsia="ar-MA" w:bidi="ar-MA"/>
        </w:rPr>
        <w:t>Quant à l’indice de la d</w:t>
      </w:r>
      <w:r w:rsidR="006A1303">
        <w:rPr>
          <w:lang w:eastAsia="ar-MA" w:bidi="ar-MA"/>
        </w:rPr>
        <w:t xml:space="preserve">ivision « Boissons alcoolisées et </w:t>
      </w:r>
      <w:r w:rsidR="00183DFA">
        <w:rPr>
          <w:lang w:eastAsia="ar-MA" w:bidi="ar-MA"/>
        </w:rPr>
        <w:t>Tabac</w:t>
      </w:r>
      <w:r w:rsidR="00183DFA" w:rsidRPr="00C756FD">
        <w:rPr>
          <w:lang w:eastAsia="ar-MA" w:bidi="ar-MA"/>
        </w:rPr>
        <w:t xml:space="preserve"> »</w:t>
      </w:r>
      <w:r w:rsidR="00C756FD" w:rsidRPr="00C756FD">
        <w:rPr>
          <w:lang w:eastAsia="ar-MA" w:bidi="ar-MA"/>
        </w:rPr>
        <w:t xml:space="preserve">, il a connu une évolution de </w:t>
      </w:r>
      <w:r w:rsidR="00EA71A8">
        <w:rPr>
          <w:lang w:eastAsia="ar-MA" w:bidi="ar-MA"/>
        </w:rPr>
        <w:t>3</w:t>
      </w:r>
      <w:r w:rsidR="00C756FD" w:rsidRPr="00C756FD">
        <w:rPr>
          <w:lang w:eastAsia="ar-MA" w:bidi="ar-MA"/>
        </w:rPr>
        <w:t>,</w:t>
      </w:r>
      <w:r w:rsidR="00183DFA">
        <w:rPr>
          <w:lang w:eastAsia="ar-MA" w:bidi="ar-MA"/>
        </w:rPr>
        <w:t>5</w:t>
      </w:r>
      <w:r w:rsidR="00C756FD" w:rsidRPr="00C756FD">
        <w:rPr>
          <w:lang w:eastAsia="ar-MA" w:bidi="ar-MA"/>
        </w:rPr>
        <w:t xml:space="preserve">% suite à une augmentation des prix </w:t>
      </w:r>
      <w:r w:rsidR="00EA71A8" w:rsidRPr="00C756FD">
        <w:rPr>
          <w:lang w:eastAsia="ar-MA" w:bidi="ar-MA"/>
        </w:rPr>
        <w:t xml:space="preserve">des « Boissons alcoolisées » </w:t>
      </w:r>
      <w:r w:rsidR="00EA71A8">
        <w:rPr>
          <w:lang w:eastAsia="ar-MA" w:bidi="ar-MA"/>
        </w:rPr>
        <w:t xml:space="preserve">et de « Tabac » respectivement </w:t>
      </w:r>
      <w:r w:rsidR="00EA71A8" w:rsidRPr="00C756FD">
        <w:rPr>
          <w:lang w:eastAsia="ar-MA" w:bidi="ar-MA"/>
        </w:rPr>
        <w:t xml:space="preserve">de </w:t>
      </w:r>
      <w:r w:rsidR="00EA71A8">
        <w:rPr>
          <w:lang w:eastAsia="ar-MA" w:bidi="ar-MA"/>
        </w:rPr>
        <w:t>4</w:t>
      </w:r>
      <w:r w:rsidR="00EA71A8" w:rsidRPr="00C756FD">
        <w:rPr>
          <w:lang w:eastAsia="ar-MA" w:bidi="ar-MA"/>
        </w:rPr>
        <w:t>,</w:t>
      </w:r>
      <w:r w:rsidR="00183DFA">
        <w:rPr>
          <w:lang w:eastAsia="ar-MA" w:bidi="ar-MA"/>
        </w:rPr>
        <w:t>9</w:t>
      </w:r>
      <w:r w:rsidR="00EA71A8" w:rsidRPr="00C756FD">
        <w:rPr>
          <w:lang w:eastAsia="ar-MA" w:bidi="ar-MA"/>
        </w:rPr>
        <w:t>%</w:t>
      </w:r>
      <w:r w:rsidR="00EA71A8">
        <w:rPr>
          <w:lang w:eastAsia="ar-MA" w:bidi="ar-MA"/>
        </w:rPr>
        <w:t xml:space="preserve"> et 3</w:t>
      </w:r>
      <w:r w:rsidR="00C756FD" w:rsidRPr="00C756FD">
        <w:rPr>
          <w:lang w:eastAsia="ar-MA" w:bidi="ar-MA"/>
        </w:rPr>
        <w:t>,</w:t>
      </w:r>
      <w:r w:rsidR="00183DFA">
        <w:rPr>
          <w:lang w:eastAsia="ar-MA" w:bidi="ar-MA"/>
        </w:rPr>
        <w:t>4</w:t>
      </w:r>
      <w:r w:rsidR="003B56BC" w:rsidRPr="00C756FD">
        <w:rPr>
          <w:lang w:eastAsia="ar-MA" w:bidi="ar-MA"/>
        </w:rPr>
        <w:t>%.</w:t>
      </w:r>
    </w:p>
    <w:p w:rsidR="00E942C3" w:rsidRPr="00E942C3" w:rsidRDefault="00E942C3" w:rsidP="00183DFA">
      <w:pPr>
        <w:tabs>
          <w:tab w:val="right" w:pos="993"/>
          <w:tab w:val="right" w:pos="5051"/>
        </w:tabs>
        <w:spacing w:before="120" w:after="120"/>
        <w:ind w:left="-567" w:firstLine="709"/>
        <w:jc w:val="both"/>
        <w:rPr>
          <w:sz w:val="12"/>
          <w:szCs w:val="12"/>
          <w:lang w:eastAsia="ar-MA" w:bidi="ar-MA"/>
        </w:rPr>
      </w:pPr>
    </w:p>
    <w:p w:rsidR="0079763A" w:rsidRDefault="00C756FD" w:rsidP="00E942C3">
      <w:pPr>
        <w:tabs>
          <w:tab w:val="right" w:pos="993"/>
          <w:tab w:val="right" w:pos="5051"/>
        </w:tabs>
        <w:spacing w:before="120" w:after="120"/>
        <w:ind w:left="-567" w:firstLine="709"/>
        <w:jc w:val="both"/>
        <w:rPr>
          <w:lang w:eastAsia="ar-MA" w:bidi="ar-MA"/>
        </w:rPr>
      </w:pPr>
      <w:r w:rsidRPr="00C756FD">
        <w:rPr>
          <w:lang w:eastAsia="ar-MA" w:bidi="ar-MA"/>
        </w:rPr>
        <w:t xml:space="preserve">Pour les produits non alimentaires, </w:t>
      </w:r>
      <w:r w:rsidR="00E867F5">
        <w:rPr>
          <w:lang w:eastAsia="ar-MA" w:bidi="ar-MA"/>
        </w:rPr>
        <w:t>l’évolution</w:t>
      </w:r>
      <w:r w:rsidRPr="00C756FD">
        <w:rPr>
          <w:lang w:eastAsia="ar-MA" w:bidi="ar-MA"/>
        </w:rPr>
        <w:t xml:space="preserve"> de son indice est due essentiellement à des variations touchant la majorité de </w:t>
      </w:r>
      <w:r w:rsidR="00A34476" w:rsidRPr="00C756FD">
        <w:rPr>
          <w:lang w:eastAsia="ar-MA" w:bidi="ar-MA"/>
        </w:rPr>
        <w:t xml:space="preserve">ses divisions </w:t>
      </w:r>
      <w:r w:rsidR="003B56BC">
        <w:rPr>
          <w:lang w:eastAsia="ar-MA" w:bidi="ar-MA"/>
        </w:rPr>
        <w:t>allant de -0,1% pour la « Santé » à +11,0% pour les « Transport »</w:t>
      </w:r>
      <w:r w:rsidR="00E942C3">
        <w:rPr>
          <w:lang w:eastAsia="ar-MA" w:bidi="ar-MA"/>
        </w:rPr>
        <w:t xml:space="preserve"> (tableau 1)</w:t>
      </w:r>
      <w:r w:rsidR="0079763A">
        <w:rPr>
          <w:lang w:eastAsia="ar-MA" w:bidi="ar-MA"/>
        </w:rPr>
        <w:t>.</w:t>
      </w:r>
    </w:p>
    <w:p w:rsidR="0079763A" w:rsidRDefault="0079763A" w:rsidP="003B56BC">
      <w:pPr>
        <w:tabs>
          <w:tab w:val="right" w:pos="993"/>
          <w:tab w:val="right" w:pos="5051"/>
        </w:tabs>
        <w:spacing w:before="120" w:after="120"/>
        <w:ind w:left="-567" w:firstLine="709"/>
        <w:jc w:val="both"/>
        <w:rPr>
          <w:lang w:eastAsia="ar-MA" w:bidi="ar-MA"/>
        </w:rPr>
      </w:pPr>
    </w:p>
    <w:p w:rsidR="0079763A" w:rsidRPr="00BD1AB1" w:rsidRDefault="0079763A" w:rsidP="00E942C3">
      <w:pPr>
        <w:spacing w:after="0"/>
        <w:jc w:val="center"/>
        <w:rPr>
          <w:b/>
          <w:bCs/>
          <w:color w:val="E36C0A" w:themeColor="accent6" w:themeShade="BF"/>
        </w:rPr>
      </w:pPr>
      <w:r w:rsidRPr="00BD1AB1">
        <w:rPr>
          <w:b/>
          <w:bCs/>
          <w:color w:val="E36C0A" w:themeColor="accent6" w:themeShade="BF"/>
        </w:rPr>
        <w:t xml:space="preserve">Tableau </w:t>
      </w:r>
      <w:r>
        <w:rPr>
          <w:b/>
          <w:bCs/>
          <w:color w:val="E36C0A" w:themeColor="accent6" w:themeShade="BF"/>
        </w:rPr>
        <w:t>1</w:t>
      </w:r>
      <w:r w:rsidRPr="00BD1AB1">
        <w:rPr>
          <w:b/>
          <w:bCs/>
          <w:color w:val="E36C0A" w:themeColor="accent6" w:themeShade="BF"/>
        </w:rPr>
        <w:t> : Evolution de l’IPC a</w:t>
      </w:r>
      <w:r>
        <w:rPr>
          <w:b/>
          <w:bCs/>
          <w:color w:val="E36C0A" w:themeColor="accent6" w:themeShade="BF"/>
        </w:rPr>
        <w:t xml:space="preserve">nnuel par division de produits </w:t>
      </w:r>
      <w:r w:rsidRPr="00BD1AB1">
        <w:rPr>
          <w:b/>
          <w:bCs/>
          <w:color w:val="E36C0A" w:themeColor="accent6" w:themeShade="BF"/>
        </w:rPr>
        <w:t xml:space="preserve">entre </w:t>
      </w:r>
      <w:r w:rsidR="00E942C3">
        <w:rPr>
          <w:b/>
          <w:bCs/>
          <w:color w:val="E36C0A" w:themeColor="accent6" w:themeShade="BF"/>
        </w:rPr>
        <w:t>2021</w:t>
      </w:r>
      <w:r w:rsidRPr="00BD1AB1">
        <w:rPr>
          <w:b/>
          <w:bCs/>
          <w:color w:val="E36C0A" w:themeColor="accent6" w:themeShade="BF"/>
        </w:rPr>
        <w:t xml:space="preserve"> et </w:t>
      </w:r>
      <w:r w:rsidR="00E942C3">
        <w:rPr>
          <w:b/>
          <w:bCs/>
          <w:color w:val="E36C0A" w:themeColor="accent6" w:themeShade="BF"/>
        </w:rPr>
        <w:t>2022</w:t>
      </w:r>
    </w:p>
    <w:tbl>
      <w:tblPr>
        <w:tblStyle w:val="Grilledutableau"/>
        <w:tblW w:w="10608" w:type="dxa"/>
        <w:tblInd w:w="-459" w:type="dxa"/>
        <w:tblLayout w:type="fixed"/>
        <w:tblLook w:val="04A0"/>
      </w:tblPr>
      <w:tblGrid>
        <w:gridCol w:w="5897"/>
        <w:gridCol w:w="851"/>
        <w:gridCol w:w="742"/>
        <w:gridCol w:w="709"/>
        <w:gridCol w:w="850"/>
        <w:gridCol w:w="851"/>
        <w:gridCol w:w="708"/>
      </w:tblGrid>
      <w:tr w:rsidR="0079763A" w:rsidRPr="00BD1AB1" w:rsidTr="003C0DD3">
        <w:trPr>
          <w:trHeight w:val="397"/>
        </w:trPr>
        <w:tc>
          <w:tcPr>
            <w:tcW w:w="5897" w:type="dxa"/>
            <w:vMerge w:val="restart"/>
          </w:tcPr>
          <w:p w:rsidR="0079763A" w:rsidRPr="00BD1AB1" w:rsidRDefault="0079763A" w:rsidP="003C0DD3">
            <w:pPr>
              <w:widowControl w:val="0"/>
              <w:autoSpaceDE w:val="0"/>
              <w:autoSpaceDN w:val="0"/>
              <w:adjustRightInd w:val="0"/>
              <w:jc w:val="center"/>
              <w:rPr>
                <w:rFonts w:cstheme="majorBidi"/>
                <w:b/>
                <w:bCs/>
              </w:rPr>
            </w:pPr>
          </w:p>
          <w:p w:rsidR="0079763A" w:rsidRPr="00BD1AB1" w:rsidRDefault="0079763A" w:rsidP="003C0DD3">
            <w:pPr>
              <w:widowControl w:val="0"/>
              <w:autoSpaceDE w:val="0"/>
              <w:autoSpaceDN w:val="0"/>
              <w:adjustRightInd w:val="0"/>
              <w:jc w:val="center"/>
              <w:rPr>
                <w:rFonts w:cstheme="majorBidi"/>
                <w:b/>
                <w:bCs/>
              </w:rPr>
            </w:pPr>
            <w:r w:rsidRPr="00BD1AB1">
              <w:rPr>
                <w:rFonts w:cstheme="majorBidi"/>
                <w:b/>
                <w:bCs/>
              </w:rPr>
              <w:t xml:space="preserve">Divisions </w:t>
            </w:r>
          </w:p>
          <w:p w:rsidR="0079763A" w:rsidRPr="00BD1AB1" w:rsidRDefault="0079763A" w:rsidP="003C0DD3">
            <w:pPr>
              <w:widowControl w:val="0"/>
              <w:autoSpaceDE w:val="0"/>
              <w:autoSpaceDN w:val="0"/>
              <w:adjustRightInd w:val="0"/>
              <w:jc w:val="center"/>
              <w:rPr>
                <w:rFonts w:cstheme="majorBidi"/>
                <w:b/>
                <w:bCs/>
              </w:rPr>
            </w:pPr>
          </w:p>
        </w:tc>
        <w:tc>
          <w:tcPr>
            <w:tcW w:w="2302" w:type="dxa"/>
            <w:gridSpan w:val="3"/>
            <w:vAlign w:val="center"/>
          </w:tcPr>
          <w:p w:rsidR="0079763A" w:rsidRPr="00BD1AB1" w:rsidRDefault="0079763A" w:rsidP="003C0DD3">
            <w:pPr>
              <w:widowControl w:val="0"/>
              <w:autoSpaceDE w:val="0"/>
              <w:autoSpaceDN w:val="0"/>
              <w:adjustRightInd w:val="0"/>
              <w:jc w:val="center"/>
              <w:rPr>
                <w:rFonts w:cstheme="majorBidi"/>
                <w:b/>
                <w:bCs/>
              </w:rPr>
            </w:pPr>
            <w:r w:rsidRPr="00BD1AB1">
              <w:rPr>
                <w:rFonts w:cstheme="majorBidi"/>
                <w:b/>
                <w:bCs/>
              </w:rPr>
              <w:t>Rabat</w:t>
            </w:r>
          </w:p>
        </w:tc>
        <w:tc>
          <w:tcPr>
            <w:tcW w:w="2409" w:type="dxa"/>
            <w:gridSpan w:val="3"/>
            <w:vAlign w:val="center"/>
          </w:tcPr>
          <w:p w:rsidR="0079763A" w:rsidRPr="00BD1AB1" w:rsidRDefault="0079763A" w:rsidP="003C0DD3">
            <w:pPr>
              <w:widowControl w:val="0"/>
              <w:autoSpaceDE w:val="0"/>
              <w:autoSpaceDN w:val="0"/>
              <w:adjustRightInd w:val="0"/>
              <w:jc w:val="center"/>
              <w:rPr>
                <w:rFonts w:cstheme="majorBidi"/>
                <w:b/>
                <w:bCs/>
              </w:rPr>
            </w:pPr>
            <w:r w:rsidRPr="00BD1AB1">
              <w:rPr>
                <w:rFonts w:cstheme="majorBidi"/>
                <w:b/>
                <w:bCs/>
              </w:rPr>
              <w:t>Maroc</w:t>
            </w:r>
          </w:p>
        </w:tc>
      </w:tr>
      <w:tr w:rsidR="00E942C3" w:rsidRPr="00BD1AB1" w:rsidTr="003C0DD3">
        <w:trPr>
          <w:trHeight w:val="133"/>
        </w:trPr>
        <w:tc>
          <w:tcPr>
            <w:tcW w:w="5897" w:type="dxa"/>
            <w:vMerge/>
            <w:tcBorders>
              <w:bottom w:val="single" w:sz="4" w:space="0" w:color="auto"/>
            </w:tcBorders>
          </w:tcPr>
          <w:p w:rsidR="00E942C3" w:rsidRPr="00BD1AB1" w:rsidRDefault="00E942C3" w:rsidP="00E942C3">
            <w:pPr>
              <w:widowControl w:val="0"/>
              <w:autoSpaceDE w:val="0"/>
              <w:autoSpaceDN w:val="0"/>
              <w:adjustRightInd w:val="0"/>
              <w:jc w:val="both"/>
              <w:rPr>
                <w:rFonts w:cstheme="majorBidi"/>
                <w:b/>
                <w:bCs/>
              </w:rPr>
            </w:pPr>
          </w:p>
        </w:tc>
        <w:tc>
          <w:tcPr>
            <w:tcW w:w="851" w:type="dxa"/>
            <w:tcBorders>
              <w:bottom w:val="single" w:sz="4" w:space="0" w:color="auto"/>
            </w:tcBorders>
            <w:vAlign w:val="center"/>
          </w:tcPr>
          <w:p w:rsidR="00E942C3" w:rsidRPr="00BD1AB1" w:rsidRDefault="00E942C3" w:rsidP="00E942C3">
            <w:pPr>
              <w:widowControl w:val="0"/>
              <w:autoSpaceDE w:val="0"/>
              <w:autoSpaceDN w:val="0"/>
              <w:adjustRightInd w:val="0"/>
              <w:jc w:val="center"/>
              <w:rPr>
                <w:rFonts w:cstheme="majorBidi"/>
                <w:b/>
                <w:bCs/>
              </w:rPr>
            </w:pPr>
            <w:r>
              <w:rPr>
                <w:rFonts w:cstheme="majorBidi"/>
                <w:b/>
                <w:bCs/>
              </w:rPr>
              <w:t>2021</w:t>
            </w:r>
          </w:p>
        </w:tc>
        <w:tc>
          <w:tcPr>
            <w:tcW w:w="742" w:type="dxa"/>
            <w:tcBorders>
              <w:bottom w:val="single" w:sz="4" w:space="0" w:color="auto"/>
            </w:tcBorders>
            <w:vAlign w:val="center"/>
          </w:tcPr>
          <w:p w:rsidR="00E942C3" w:rsidRPr="00BD1AB1" w:rsidRDefault="00E942C3" w:rsidP="00E942C3">
            <w:pPr>
              <w:widowControl w:val="0"/>
              <w:autoSpaceDE w:val="0"/>
              <w:autoSpaceDN w:val="0"/>
              <w:adjustRightInd w:val="0"/>
              <w:jc w:val="center"/>
              <w:rPr>
                <w:rFonts w:cstheme="majorBidi"/>
                <w:b/>
                <w:bCs/>
              </w:rPr>
            </w:pPr>
            <w:r>
              <w:rPr>
                <w:rFonts w:cstheme="majorBidi"/>
                <w:b/>
                <w:bCs/>
              </w:rPr>
              <w:t>2022</w:t>
            </w:r>
          </w:p>
        </w:tc>
        <w:tc>
          <w:tcPr>
            <w:tcW w:w="709" w:type="dxa"/>
            <w:tcBorders>
              <w:bottom w:val="single" w:sz="4" w:space="0" w:color="auto"/>
            </w:tcBorders>
            <w:vAlign w:val="center"/>
          </w:tcPr>
          <w:p w:rsidR="00E942C3" w:rsidRPr="00BD1AB1" w:rsidRDefault="00E942C3" w:rsidP="00E942C3">
            <w:pPr>
              <w:widowControl w:val="0"/>
              <w:autoSpaceDE w:val="0"/>
              <w:autoSpaceDN w:val="0"/>
              <w:adjustRightInd w:val="0"/>
              <w:jc w:val="center"/>
              <w:rPr>
                <w:rFonts w:cstheme="majorBidi"/>
                <w:b/>
                <w:bCs/>
              </w:rPr>
            </w:pPr>
            <w:r w:rsidRPr="00BD1AB1">
              <w:rPr>
                <w:rFonts w:cstheme="majorBidi"/>
                <w:b/>
                <w:bCs/>
              </w:rPr>
              <w:t>Var%</w:t>
            </w:r>
          </w:p>
        </w:tc>
        <w:tc>
          <w:tcPr>
            <w:tcW w:w="850" w:type="dxa"/>
            <w:tcBorders>
              <w:bottom w:val="single" w:sz="4" w:space="0" w:color="auto"/>
            </w:tcBorders>
            <w:vAlign w:val="center"/>
          </w:tcPr>
          <w:p w:rsidR="00E942C3" w:rsidRPr="00BD1AB1" w:rsidRDefault="00E942C3" w:rsidP="00E942C3">
            <w:pPr>
              <w:widowControl w:val="0"/>
              <w:autoSpaceDE w:val="0"/>
              <w:autoSpaceDN w:val="0"/>
              <w:adjustRightInd w:val="0"/>
              <w:jc w:val="center"/>
              <w:rPr>
                <w:rFonts w:cstheme="majorBidi"/>
                <w:b/>
                <w:bCs/>
              </w:rPr>
            </w:pPr>
            <w:r>
              <w:rPr>
                <w:rFonts w:cstheme="majorBidi"/>
                <w:b/>
                <w:bCs/>
              </w:rPr>
              <w:t>2021</w:t>
            </w:r>
          </w:p>
        </w:tc>
        <w:tc>
          <w:tcPr>
            <w:tcW w:w="851" w:type="dxa"/>
            <w:tcBorders>
              <w:bottom w:val="single" w:sz="4" w:space="0" w:color="auto"/>
            </w:tcBorders>
            <w:vAlign w:val="center"/>
          </w:tcPr>
          <w:p w:rsidR="00E942C3" w:rsidRPr="00BD1AB1" w:rsidRDefault="00E942C3" w:rsidP="00E942C3">
            <w:pPr>
              <w:widowControl w:val="0"/>
              <w:autoSpaceDE w:val="0"/>
              <w:autoSpaceDN w:val="0"/>
              <w:adjustRightInd w:val="0"/>
              <w:jc w:val="center"/>
              <w:rPr>
                <w:rFonts w:cstheme="majorBidi"/>
                <w:b/>
                <w:bCs/>
              </w:rPr>
            </w:pPr>
            <w:r>
              <w:rPr>
                <w:rFonts w:cstheme="majorBidi"/>
                <w:b/>
                <w:bCs/>
              </w:rPr>
              <w:t>2022</w:t>
            </w:r>
          </w:p>
        </w:tc>
        <w:tc>
          <w:tcPr>
            <w:tcW w:w="708" w:type="dxa"/>
            <w:tcBorders>
              <w:bottom w:val="single" w:sz="4" w:space="0" w:color="auto"/>
            </w:tcBorders>
            <w:vAlign w:val="center"/>
          </w:tcPr>
          <w:p w:rsidR="00E942C3" w:rsidRPr="00BD1AB1" w:rsidRDefault="00E942C3" w:rsidP="00E942C3">
            <w:pPr>
              <w:widowControl w:val="0"/>
              <w:autoSpaceDE w:val="0"/>
              <w:autoSpaceDN w:val="0"/>
              <w:adjustRightInd w:val="0"/>
              <w:jc w:val="center"/>
              <w:rPr>
                <w:rFonts w:cstheme="majorBidi"/>
                <w:b/>
                <w:bCs/>
              </w:rPr>
            </w:pPr>
            <w:r w:rsidRPr="00BD1AB1">
              <w:rPr>
                <w:rFonts w:cstheme="majorBidi"/>
                <w:b/>
                <w:bCs/>
              </w:rPr>
              <w:t>Var%</w:t>
            </w:r>
          </w:p>
        </w:tc>
      </w:tr>
      <w:tr w:rsidR="00E942C3" w:rsidRPr="00BD1AB1" w:rsidTr="003C0DD3">
        <w:trPr>
          <w:trHeight w:val="398"/>
        </w:trPr>
        <w:tc>
          <w:tcPr>
            <w:tcW w:w="58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BD1AB1" w:rsidRDefault="00E942C3" w:rsidP="00E942C3">
            <w:pPr>
              <w:rPr>
                <w:rFonts w:cstheme="majorBidi"/>
                <w:b/>
                <w:bCs/>
              </w:rPr>
            </w:pPr>
            <w:r w:rsidRPr="00BD1AB1">
              <w:rPr>
                <w:rFonts w:cstheme="majorBidi"/>
                <w:b/>
                <w:bCs/>
              </w:rPr>
              <w:t>Produits alimentaires</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sidRPr="006F2327">
              <w:rPr>
                <w:rFonts w:cstheme="majorBidi"/>
                <w:b/>
                <w:bCs/>
              </w:rPr>
              <w:t>103,6</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Pr>
                <w:rFonts w:cstheme="majorBidi"/>
                <w:b/>
                <w:bCs/>
              </w:rPr>
              <w:t>114.1</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10,1</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sidRPr="006F2327">
              <w:rPr>
                <w:rFonts w:cstheme="majorBidi"/>
                <w:b/>
                <w:bCs/>
              </w:rPr>
              <w:t>103,1</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114,3</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10,9</w:t>
            </w:r>
          </w:p>
        </w:tc>
      </w:tr>
      <w:tr w:rsidR="00E942C3" w:rsidRPr="00BD1AB1" w:rsidTr="003C0DD3">
        <w:trPr>
          <w:trHeight w:val="419"/>
        </w:trPr>
        <w:tc>
          <w:tcPr>
            <w:tcW w:w="5897" w:type="dxa"/>
            <w:tcBorders>
              <w:top w:val="single" w:sz="4" w:space="0" w:color="auto"/>
              <w:left w:val="single" w:sz="4" w:space="0" w:color="auto"/>
              <w:bottom w:val="nil"/>
              <w:right w:val="single" w:sz="4" w:space="0" w:color="auto"/>
            </w:tcBorders>
            <w:vAlign w:val="center"/>
          </w:tcPr>
          <w:p w:rsidR="00E942C3" w:rsidRPr="00BD1AB1" w:rsidRDefault="00E942C3" w:rsidP="00E942C3">
            <w:pPr>
              <w:rPr>
                <w:rFonts w:cstheme="majorBidi"/>
              </w:rPr>
            </w:pPr>
            <w:r w:rsidRPr="00BD1AB1">
              <w:rPr>
                <w:rFonts w:cstheme="majorBidi"/>
              </w:rPr>
              <w:t xml:space="preserve"> 01-Produits alimentaires et boissons non alcoolisées</w:t>
            </w:r>
          </w:p>
        </w:tc>
        <w:tc>
          <w:tcPr>
            <w:tcW w:w="851" w:type="dxa"/>
            <w:tcBorders>
              <w:top w:val="single" w:sz="4" w:space="0" w:color="auto"/>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102,8</w:t>
            </w:r>
          </w:p>
        </w:tc>
        <w:tc>
          <w:tcPr>
            <w:tcW w:w="742" w:type="dxa"/>
            <w:tcBorders>
              <w:top w:val="single" w:sz="4" w:space="0" w:color="auto"/>
              <w:left w:val="single" w:sz="4" w:space="0" w:color="auto"/>
              <w:bottom w:val="nil"/>
              <w:right w:val="single" w:sz="4" w:space="0" w:color="auto"/>
            </w:tcBorders>
            <w:vAlign w:val="center"/>
          </w:tcPr>
          <w:p w:rsidR="00E942C3" w:rsidRPr="006F2327" w:rsidRDefault="00E942C3" w:rsidP="00E942C3">
            <w:pPr>
              <w:jc w:val="center"/>
              <w:rPr>
                <w:rFonts w:cstheme="majorBidi"/>
              </w:rPr>
            </w:pPr>
            <w:r>
              <w:rPr>
                <w:rFonts w:cstheme="majorBidi"/>
              </w:rPr>
              <w:t>113.5</w:t>
            </w:r>
          </w:p>
        </w:tc>
        <w:tc>
          <w:tcPr>
            <w:tcW w:w="709"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10,4</w:t>
            </w:r>
          </w:p>
        </w:tc>
        <w:tc>
          <w:tcPr>
            <w:tcW w:w="850" w:type="dxa"/>
            <w:tcBorders>
              <w:top w:val="single" w:sz="4" w:space="0" w:color="auto"/>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102,2</w:t>
            </w:r>
          </w:p>
        </w:tc>
        <w:tc>
          <w:tcPr>
            <w:tcW w:w="851"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113,7</w:t>
            </w:r>
          </w:p>
        </w:tc>
        <w:tc>
          <w:tcPr>
            <w:tcW w:w="708"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11,3</w:t>
            </w:r>
          </w:p>
        </w:tc>
      </w:tr>
      <w:tr w:rsidR="00E942C3" w:rsidRPr="00BD1AB1" w:rsidTr="003C0DD3">
        <w:trPr>
          <w:trHeight w:val="414"/>
        </w:trPr>
        <w:tc>
          <w:tcPr>
            <w:tcW w:w="5897" w:type="dxa"/>
            <w:tcBorders>
              <w:top w:val="nil"/>
              <w:left w:val="single" w:sz="4" w:space="0" w:color="auto"/>
              <w:bottom w:val="single" w:sz="4" w:space="0" w:color="auto"/>
              <w:right w:val="single" w:sz="4" w:space="0" w:color="auto"/>
            </w:tcBorders>
            <w:vAlign w:val="center"/>
          </w:tcPr>
          <w:p w:rsidR="00E942C3" w:rsidRPr="00BD1AB1" w:rsidRDefault="00E942C3" w:rsidP="00E942C3">
            <w:pPr>
              <w:rPr>
                <w:rFonts w:cstheme="majorBidi"/>
              </w:rPr>
            </w:pPr>
            <w:r>
              <w:rPr>
                <w:rFonts w:cstheme="majorBidi"/>
              </w:rPr>
              <w:t xml:space="preserve"> 02-Boissons alcoolisées et </w:t>
            </w:r>
            <w:r w:rsidRPr="00BD1AB1">
              <w:rPr>
                <w:rFonts w:cstheme="majorBidi"/>
              </w:rPr>
              <w:t>taba</w:t>
            </w:r>
            <w:r>
              <w:rPr>
                <w:rFonts w:cstheme="majorBidi"/>
              </w:rPr>
              <w:t>c</w:t>
            </w:r>
          </w:p>
        </w:tc>
        <w:tc>
          <w:tcPr>
            <w:tcW w:w="851" w:type="dxa"/>
            <w:tcBorders>
              <w:top w:val="nil"/>
              <w:left w:val="single" w:sz="4" w:space="0" w:color="auto"/>
              <w:bottom w:val="single" w:sz="4" w:space="0" w:color="auto"/>
              <w:right w:val="single" w:sz="4" w:space="0" w:color="auto"/>
            </w:tcBorders>
            <w:vAlign w:val="center"/>
          </w:tcPr>
          <w:p w:rsidR="00E942C3" w:rsidRPr="006F2327" w:rsidRDefault="00E942C3" w:rsidP="00E942C3">
            <w:pPr>
              <w:jc w:val="center"/>
              <w:rPr>
                <w:rFonts w:cstheme="majorBidi"/>
              </w:rPr>
            </w:pPr>
            <w:r w:rsidRPr="006F2327">
              <w:rPr>
                <w:rFonts w:cstheme="majorBidi"/>
              </w:rPr>
              <w:t>124,8</w:t>
            </w:r>
          </w:p>
        </w:tc>
        <w:tc>
          <w:tcPr>
            <w:tcW w:w="742" w:type="dxa"/>
            <w:tcBorders>
              <w:top w:val="nil"/>
              <w:left w:val="single" w:sz="4" w:space="0" w:color="auto"/>
              <w:bottom w:val="single" w:sz="4" w:space="0" w:color="auto"/>
              <w:right w:val="single" w:sz="4" w:space="0" w:color="auto"/>
            </w:tcBorders>
            <w:vAlign w:val="center"/>
          </w:tcPr>
          <w:p w:rsidR="00E942C3" w:rsidRPr="006F2327" w:rsidRDefault="00E942C3" w:rsidP="00E942C3">
            <w:pPr>
              <w:jc w:val="center"/>
              <w:rPr>
                <w:rFonts w:cstheme="majorBidi"/>
              </w:rPr>
            </w:pPr>
            <w:r>
              <w:rPr>
                <w:rFonts w:cstheme="majorBidi"/>
              </w:rPr>
              <w:t>129,2</w:t>
            </w:r>
          </w:p>
        </w:tc>
        <w:tc>
          <w:tcPr>
            <w:tcW w:w="709"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3,5</w:t>
            </w:r>
          </w:p>
        </w:tc>
        <w:tc>
          <w:tcPr>
            <w:tcW w:w="850" w:type="dxa"/>
            <w:tcBorders>
              <w:top w:val="nil"/>
              <w:left w:val="single" w:sz="4" w:space="0" w:color="auto"/>
              <w:bottom w:val="single" w:sz="4" w:space="0" w:color="auto"/>
              <w:right w:val="single" w:sz="4" w:space="0" w:color="auto"/>
            </w:tcBorders>
            <w:vAlign w:val="center"/>
          </w:tcPr>
          <w:p w:rsidR="00E942C3" w:rsidRPr="006F2327" w:rsidRDefault="00E942C3" w:rsidP="00E942C3">
            <w:pPr>
              <w:jc w:val="center"/>
              <w:rPr>
                <w:rFonts w:cstheme="majorBidi"/>
              </w:rPr>
            </w:pPr>
            <w:r w:rsidRPr="006F2327">
              <w:rPr>
                <w:rFonts w:cstheme="majorBidi"/>
              </w:rPr>
              <w:t>125,5</w:t>
            </w:r>
          </w:p>
        </w:tc>
        <w:tc>
          <w:tcPr>
            <w:tcW w:w="851"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ajorBidi"/>
              </w:rPr>
            </w:pPr>
            <w:r w:rsidRPr="00E942C3">
              <w:rPr>
                <w:rFonts w:cstheme="majorBidi"/>
              </w:rPr>
              <w:t>129,8</w:t>
            </w:r>
          </w:p>
        </w:tc>
        <w:tc>
          <w:tcPr>
            <w:tcW w:w="708"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3,4</w:t>
            </w:r>
          </w:p>
        </w:tc>
      </w:tr>
      <w:tr w:rsidR="00E942C3" w:rsidRPr="00BD1AB1" w:rsidTr="003C0DD3">
        <w:trPr>
          <w:trHeight w:val="446"/>
        </w:trPr>
        <w:tc>
          <w:tcPr>
            <w:tcW w:w="58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BD1AB1" w:rsidRDefault="00E942C3" w:rsidP="00E942C3">
            <w:pPr>
              <w:rPr>
                <w:rFonts w:cstheme="majorBidi"/>
                <w:b/>
                <w:bCs/>
              </w:rPr>
            </w:pPr>
            <w:r w:rsidRPr="00BD1AB1">
              <w:rPr>
                <w:rFonts w:cstheme="majorBidi"/>
                <w:b/>
                <w:bCs/>
              </w:rPr>
              <w:t>Produits non alimentaires</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sidRPr="006F2327">
              <w:rPr>
                <w:rFonts w:cstheme="majorBidi"/>
                <w:b/>
                <w:bCs/>
              </w:rPr>
              <w:t>103,9</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Default="00E942C3" w:rsidP="00E942C3">
            <w:pPr>
              <w:jc w:val="center"/>
              <w:rPr>
                <w:rFonts w:ascii="Arial" w:hAnsi="Arial" w:cs="Arial"/>
                <w:b/>
                <w:bCs/>
              </w:rPr>
            </w:pPr>
            <w:r w:rsidRPr="00E942C3">
              <w:rPr>
                <w:rFonts w:cstheme="majorBidi"/>
                <w:b/>
                <w:bCs/>
              </w:rPr>
              <w:t>107,7</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3,7</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sidRPr="006F2327">
              <w:rPr>
                <w:rFonts w:cstheme="majorBidi"/>
                <w:b/>
                <w:bCs/>
              </w:rPr>
              <w:t>104,5</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108,5</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3,9</w:t>
            </w:r>
          </w:p>
        </w:tc>
      </w:tr>
      <w:tr w:rsidR="00E942C3" w:rsidRPr="00BD1AB1" w:rsidTr="003C0DD3">
        <w:trPr>
          <w:trHeight w:val="330"/>
        </w:trPr>
        <w:tc>
          <w:tcPr>
            <w:tcW w:w="5897" w:type="dxa"/>
            <w:tcBorders>
              <w:top w:val="single" w:sz="4" w:space="0" w:color="auto"/>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03-Articles d'habillement et chaussures</w:t>
            </w:r>
          </w:p>
        </w:tc>
        <w:tc>
          <w:tcPr>
            <w:tcW w:w="851" w:type="dxa"/>
            <w:tcBorders>
              <w:top w:val="single" w:sz="4" w:space="0" w:color="auto"/>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108,0</w:t>
            </w:r>
          </w:p>
        </w:tc>
        <w:tc>
          <w:tcPr>
            <w:tcW w:w="742"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118,6</w:t>
            </w:r>
          </w:p>
        </w:tc>
        <w:tc>
          <w:tcPr>
            <w:tcW w:w="709"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9,8</w:t>
            </w:r>
          </w:p>
        </w:tc>
        <w:tc>
          <w:tcPr>
            <w:tcW w:w="850" w:type="dxa"/>
            <w:tcBorders>
              <w:top w:val="single" w:sz="4" w:space="0" w:color="auto"/>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104,7</w:t>
            </w:r>
          </w:p>
        </w:tc>
        <w:tc>
          <w:tcPr>
            <w:tcW w:w="851"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109,7</w:t>
            </w:r>
          </w:p>
        </w:tc>
        <w:tc>
          <w:tcPr>
            <w:tcW w:w="708" w:type="dxa"/>
            <w:tcBorders>
              <w:top w:val="single" w:sz="4" w:space="0" w:color="auto"/>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4,8</w:t>
            </w:r>
          </w:p>
        </w:tc>
      </w:tr>
      <w:tr w:rsidR="00E942C3" w:rsidRPr="00BD1AB1" w:rsidTr="003C0DD3">
        <w:trPr>
          <w:trHeight w:val="330"/>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04-Logement, eau, gaz, électricité et autres combustibles</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101,4</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102,8</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1,4</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102,6</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103,6</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1,0</w:t>
            </w:r>
          </w:p>
        </w:tc>
      </w:tr>
      <w:tr w:rsidR="00E942C3" w:rsidRPr="00BD1AB1" w:rsidTr="003C0DD3">
        <w:trPr>
          <w:trHeight w:val="330"/>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05-Meubles, articles de ménage et entretien courant du foyer</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100,9</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102,2</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1,3</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101,9</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107,1</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5,1</w:t>
            </w:r>
          </w:p>
        </w:tc>
      </w:tr>
      <w:tr w:rsidR="00E942C3" w:rsidRPr="00BD1AB1" w:rsidTr="003C0DD3">
        <w:trPr>
          <w:trHeight w:val="249"/>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06-Santé</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102,7</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102,6</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-0,1</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101,8</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101,9</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0,1</w:t>
            </w:r>
          </w:p>
        </w:tc>
      </w:tr>
      <w:tr w:rsidR="00E942C3" w:rsidRPr="00BD1AB1" w:rsidTr="003C0DD3">
        <w:trPr>
          <w:trHeight w:val="280"/>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07-Transports</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105,9</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117,6</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11,0</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106,7</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119,7</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12,2</w:t>
            </w:r>
          </w:p>
        </w:tc>
      </w:tr>
      <w:tr w:rsidR="00E942C3" w:rsidRPr="00BD1AB1" w:rsidTr="003C0DD3">
        <w:trPr>
          <w:trHeight w:val="157"/>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08-Communications</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106,4</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107,1</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0,7</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103,7</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104,0</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0,3</w:t>
            </w:r>
          </w:p>
        </w:tc>
      </w:tr>
      <w:tr w:rsidR="00E942C3" w:rsidRPr="00BD1AB1" w:rsidTr="003C0DD3">
        <w:trPr>
          <w:trHeight w:val="230"/>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09-Loisirs et culture</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100,7</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101,5</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0,8</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100,2</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104,3</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4,1</w:t>
            </w:r>
          </w:p>
        </w:tc>
      </w:tr>
      <w:tr w:rsidR="00E942C3" w:rsidRPr="00BD1AB1" w:rsidTr="003C0DD3">
        <w:trPr>
          <w:trHeight w:val="321"/>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10-Enseignement</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108,4</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109,6</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1,1</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110,8</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113,2</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2,2</w:t>
            </w:r>
          </w:p>
        </w:tc>
      </w:tr>
      <w:tr w:rsidR="00E942C3" w:rsidRPr="00BD1AB1" w:rsidTr="003C0DD3">
        <w:trPr>
          <w:trHeight w:val="125"/>
        </w:trPr>
        <w:tc>
          <w:tcPr>
            <w:tcW w:w="5897" w:type="dxa"/>
            <w:tcBorders>
              <w:top w:val="nil"/>
              <w:left w:val="single" w:sz="4" w:space="0" w:color="auto"/>
              <w:bottom w:val="nil"/>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11-Restaurants et hôtels</w:t>
            </w:r>
          </w:p>
        </w:tc>
        <w:tc>
          <w:tcPr>
            <w:tcW w:w="851"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101,5</w:t>
            </w:r>
          </w:p>
        </w:tc>
        <w:tc>
          <w:tcPr>
            <w:tcW w:w="742"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108,2</w:t>
            </w:r>
          </w:p>
        </w:tc>
        <w:tc>
          <w:tcPr>
            <w:tcW w:w="709"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6,6</w:t>
            </w:r>
          </w:p>
        </w:tc>
        <w:tc>
          <w:tcPr>
            <w:tcW w:w="850" w:type="dxa"/>
            <w:tcBorders>
              <w:top w:val="nil"/>
              <w:left w:val="single" w:sz="4" w:space="0" w:color="auto"/>
              <w:bottom w:val="nil"/>
              <w:right w:val="single" w:sz="4" w:space="0" w:color="auto"/>
            </w:tcBorders>
            <w:vAlign w:val="center"/>
          </w:tcPr>
          <w:p w:rsidR="00E942C3" w:rsidRPr="006F2327" w:rsidRDefault="00E942C3" w:rsidP="00E942C3">
            <w:pPr>
              <w:jc w:val="center"/>
              <w:rPr>
                <w:rFonts w:cstheme="majorBidi"/>
              </w:rPr>
            </w:pPr>
            <w:r w:rsidRPr="006F2327">
              <w:rPr>
                <w:rFonts w:cstheme="majorBidi"/>
              </w:rPr>
              <w:t>104,6</w:t>
            </w:r>
          </w:p>
        </w:tc>
        <w:tc>
          <w:tcPr>
            <w:tcW w:w="851"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ajorBidi"/>
              </w:rPr>
            </w:pPr>
            <w:r w:rsidRPr="00E942C3">
              <w:rPr>
                <w:rFonts w:cstheme="majorBidi"/>
              </w:rPr>
              <w:t>107,5</w:t>
            </w:r>
          </w:p>
        </w:tc>
        <w:tc>
          <w:tcPr>
            <w:tcW w:w="708" w:type="dxa"/>
            <w:tcBorders>
              <w:top w:val="nil"/>
              <w:left w:val="single" w:sz="4" w:space="0" w:color="auto"/>
              <w:bottom w:val="nil"/>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2,8</w:t>
            </w:r>
          </w:p>
        </w:tc>
      </w:tr>
      <w:tr w:rsidR="00E942C3" w:rsidRPr="00BD1AB1" w:rsidTr="003C0DD3">
        <w:trPr>
          <w:trHeight w:val="385"/>
        </w:trPr>
        <w:tc>
          <w:tcPr>
            <w:tcW w:w="5897" w:type="dxa"/>
            <w:tcBorders>
              <w:top w:val="nil"/>
              <w:left w:val="single" w:sz="4" w:space="0" w:color="auto"/>
              <w:bottom w:val="single" w:sz="4" w:space="0" w:color="auto"/>
              <w:right w:val="single" w:sz="4" w:space="0" w:color="auto"/>
            </w:tcBorders>
            <w:vAlign w:val="center"/>
          </w:tcPr>
          <w:p w:rsidR="00E942C3" w:rsidRPr="00BD1AB1" w:rsidRDefault="00E942C3" w:rsidP="00E942C3">
            <w:pPr>
              <w:spacing w:line="276" w:lineRule="auto"/>
              <w:rPr>
                <w:rFonts w:cstheme="majorBidi"/>
              </w:rPr>
            </w:pPr>
            <w:r w:rsidRPr="00BD1AB1">
              <w:rPr>
                <w:rFonts w:cstheme="majorBidi"/>
              </w:rPr>
              <w:t xml:space="preserve"> 12-Biens et services divers</w:t>
            </w:r>
          </w:p>
        </w:tc>
        <w:tc>
          <w:tcPr>
            <w:tcW w:w="851" w:type="dxa"/>
            <w:tcBorders>
              <w:top w:val="nil"/>
              <w:left w:val="single" w:sz="4" w:space="0" w:color="auto"/>
              <w:bottom w:val="single" w:sz="4" w:space="0" w:color="auto"/>
              <w:right w:val="single" w:sz="4" w:space="0" w:color="auto"/>
            </w:tcBorders>
            <w:vAlign w:val="center"/>
          </w:tcPr>
          <w:p w:rsidR="00E942C3" w:rsidRPr="006F2327" w:rsidRDefault="00E942C3" w:rsidP="00E942C3">
            <w:pPr>
              <w:jc w:val="center"/>
              <w:rPr>
                <w:rFonts w:cstheme="majorBidi"/>
              </w:rPr>
            </w:pPr>
            <w:r w:rsidRPr="006F2327">
              <w:rPr>
                <w:rFonts w:cstheme="majorBidi"/>
              </w:rPr>
              <w:t>103,3</w:t>
            </w:r>
          </w:p>
        </w:tc>
        <w:tc>
          <w:tcPr>
            <w:tcW w:w="742"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ajorBidi"/>
              </w:rPr>
            </w:pPr>
            <w:r w:rsidRPr="00E942C3">
              <w:rPr>
                <w:rFonts w:cstheme="majorBidi"/>
              </w:rPr>
              <w:t>106,0</w:t>
            </w:r>
          </w:p>
        </w:tc>
        <w:tc>
          <w:tcPr>
            <w:tcW w:w="709"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2,6</w:t>
            </w:r>
          </w:p>
        </w:tc>
        <w:tc>
          <w:tcPr>
            <w:tcW w:w="850" w:type="dxa"/>
            <w:tcBorders>
              <w:top w:val="nil"/>
              <w:left w:val="single" w:sz="4" w:space="0" w:color="auto"/>
              <w:bottom w:val="single" w:sz="4" w:space="0" w:color="auto"/>
              <w:right w:val="single" w:sz="4" w:space="0" w:color="auto"/>
            </w:tcBorders>
            <w:vAlign w:val="center"/>
          </w:tcPr>
          <w:p w:rsidR="00E942C3" w:rsidRPr="006F2327" w:rsidRDefault="00E942C3" w:rsidP="00E942C3">
            <w:pPr>
              <w:jc w:val="center"/>
              <w:rPr>
                <w:rFonts w:cstheme="majorBidi"/>
              </w:rPr>
            </w:pPr>
            <w:r w:rsidRPr="006F2327">
              <w:rPr>
                <w:rFonts w:cstheme="majorBidi"/>
              </w:rPr>
              <w:t>106,4</w:t>
            </w:r>
          </w:p>
        </w:tc>
        <w:tc>
          <w:tcPr>
            <w:tcW w:w="851"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ajorBidi"/>
              </w:rPr>
            </w:pPr>
            <w:r w:rsidRPr="00E942C3">
              <w:rPr>
                <w:rFonts w:cstheme="majorBidi"/>
              </w:rPr>
              <w:t>110,0</w:t>
            </w:r>
          </w:p>
        </w:tc>
        <w:tc>
          <w:tcPr>
            <w:tcW w:w="708" w:type="dxa"/>
            <w:tcBorders>
              <w:top w:val="nil"/>
              <w:left w:val="single" w:sz="4" w:space="0" w:color="auto"/>
              <w:bottom w:val="single" w:sz="4" w:space="0" w:color="auto"/>
              <w:right w:val="single" w:sz="4" w:space="0" w:color="auto"/>
            </w:tcBorders>
            <w:vAlign w:val="center"/>
          </w:tcPr>
          <w:p w:rsidR="00E942C3" w:rsidRPr="00E942C3" w:rsidRDefault="00E942C3" w:rsidP="00E942C3">
            <w:pPr>
              <w:jc w:val="center"/>
              <w:rPr>
                <w:rFonts w:cstheme="minorHAnsi"/>
                <w:b/>
                <w:bCs/>
              </w:rPr>
            </w:pPr>
            <w:r w:rsidRPr="00E942C3">
              <w:rPr>
                <w:rFonts w:cstheme="minorHAnsi"/>
                <w:b/>
                <w:bCs/>
              </w:rPr>
              <w:t>3,4</w:t>
            </w:r>
          </w:p>
        </w:tc>
      </w:tr>
      <w:tr w:rsidR="00E942C3" w:rsidRPr="00BD1AB1" w:rsidTr="003C0DD3">
        <w:trPr>
          <w:trHeight w:val="441"/>
        </w:trPr>
        <w:tc>
          <w:tcPr>
            <w:tcW w:w="58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BD1AB1" w:rsidRDefault="00E942C3" w:rsidP="00E942C3">
            <w:pPr>
              <w:rPr>
                <w:rFonts w:cstheme="majorBidi"/>
                <w:b/>
                <w:bCs/>
              </w:rPr>
            </w:pPr>
            <w:r w:rsidRPr="000A3685">
              <w:rPr>
                <w:rFonts w:cstheme="majorBidi"/>
                <w:b/>
                <w:bCs/>
              </w:rPr>
              <w:br w:type="page"/>
            </w:r>
            <w:r w:rsidRPr="00BD1AB1">
              <w:rPr>
                <w:rFonts w:cstheme="majorBidi"/>
                <w:b/>
                <w:bCs/>
              </w:rPr>
              <w:t>GENERAL</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sidRPr="006F2327">
              <w:rPr>
                <w:rFonts w:cstheme="majorBidi"/>
                <w:b/>
                <w:bCs/>
              </w:rPr>
              <w:t>103,8</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Default="00E942C3" w:rsidP="00E942C3">
            <w:pPr>
              <w:jc w:val="center"/>
              <w:rPr>
                <w:rFonts w:ascii="Arial" w:hAnsi="Arial" w:cs="Arial"/>
                <w:b/>
                <w:bCs/>
              </w:rPr>
            </w:pPr>
            <w:r w:rsidRPr="00E942C3">
              <w:rPr>
                <w:rFonts w:cstheme="majorBidi"/>
                <w:b/>
                <w:bCs/>
              </w:rPr>
              <w:t>110,0</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6,0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6F2327" w:rsidRDefault="00E942C3" w:rsidP="00E942C3">
            <w:pPr>
              <w:jc w:val="center"/>
              <w:rPr>
                <w:rFonts w:cstheme="majorBidi"/>
                <w:b/>
                <w:bCs/>
              </w:rPr>
            </w:pPr>
            <w:r w:rsidRPr="006F2327">
              <w:rPr>
                <w:rFonts w:cstheme="majorBidi"/>
                <w:b/>
                <w:bCs/>
              </w:rPr>
              <w:t>103,9</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110,8</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942C3" w:rsidRPr="00E942C3" w:rsidRDefault="00E942C3" w:rsidP="00E942C3">
            <w:pPr>
              <w:jc w:val="center"/>
              <w:rPr>
                <w:rFonts w:cstheme="majorBidi"/>
                <w:b/>
                <w:bCs/>
              </w:rPr>
            </w:pPr>
            <w:r w:rsidRPr="00E942C3">
              <w:rPr>
                <w:rFonts w:cstheme="majorBidi"/>
                <w:b/>
                <w:bCs/>
              </w:rPr>
              <w:t>6,6</w:t>
            </w:r>
          </w:p>
        </w:tc>
      </w:tr>
    </w:tbl>
    <w:p w:rsidR="0079763A" w:rsidRPr="00452B7D" w:rsidRDefault="0079763A" w:rsidP="0079763A">
      <w:pPr>
        <w:pStyle w:val="Paragraphedeliste"/>
        <w:widowControl w:val="0"/>
        <w:autoSpaceDE w:val="0"/>
        <w:autoSpaceDN w:val="0"/>
        <w:adjustRightInd w:val="0"/>
        <w:spacing w:before="120" w:after="120" w:line="240" w:lineRule="auto"/>
        <w:ind w:left="851" w:right="-569"/>
        <w:jc w:val="center"/>
        <w:rPr>
          <w:rFonts w:asciiTheme="majorBidi" w:hAnsiTheme="majorBidi" w:cstheme="majorBidi"/>
          <w:b/>
          <w:bCs/>
          <w:sz w:val="16"/>
          <w:szCs w:val="16"/>
        </w:rPr>
      </w:pPr>
      <w:r w:rsidRPr="00452B7D">
        <w:rPr>
          <w:rFonts w:asciiTheme="majorBidi" w:hAnsiTheme="majorBidi" w:cstheme="majorBidi"/>
          <w:b/>
          <w:bCs/>
          <w:sz w:val="16"/>
          <w:szCs w:val="16"/>
        </w:rPr>
        <w:t>Source : HCP</w:t>
      </w:r>
    </w:p>
    <w:p w:rsidR="0079763A" w:rsidRPr="0079763A" w:rsidRDefault="0079763A" w:rsidP="003B56BC">
      <w:pPr>
        <w:tabs>
          <w:tab w:val="right" w:pos="993"/>
          <w:tab w:val="right" w:pos="5051"/>
        </w:tabs>
        <w:spacing w:before="120" w:after="120"/>
        <w:ind w:left="-567" w:firstLine="709"/>
        <w:jc w:val="both"/>
        <w:rPr>
          <w:sz w:val="8"/>
          <w:szCs w:val="8"/>
          <w:lang w:eastAsia="ar-MA" w:bidi="ar-MA"/>
        </w:rPr>
      </w:pPr>
    </w:p>
    <w:p w:rsidR="00C756FD" w:rsidRPr="00C756FD" w:rsidRDefault="0079763A" w:rsidP="0079763A">
      <w:pPr>
        <w:tabs>
          <w:tab w:val="right" w:pos="993"/>
          <w:tab w:val="right" w:pos="5051"/>
        </w:tabs>
        <w:spacing w:before="120" w:after="120"/>
        <w:ind w:left="-567" w:firstLine="709"/>
        <w:jc w:val="both"/>
        <w:rPr>
          <w:lang w:eastAsia="ar-MA" w:bidi="ar-MA"/>
        </w:rPr>
      </w:pPr>
      <w:r>
        <w:rPr>
          <w:lang w:eastAsia="ar-MA" w:bidi="ar-MA"/>
        </w:rPr>
        <w:t>Ces variations sont</w:t>
      </w:r>
      <w:r w:rsidR="00A34476" w:rsidRPr="00C756FD">
        <w:rPr>
          <w:lang w:eastAsia="ar-MA" w:bidi="ar-MA"/>
        </w:rPr>
        <w:t>présentées</w:t>
      </w:r>
      <w:r w:rsidR="00C756FD" w:rsidRPr="00C756FD">
        <w:rPr>
          <w:lang w:eastAsia="ar-MA" w:bidi="ar-MA"/>
        </w:rPr>
        <w:t xml:space="preserve"> comme suit :</w:t>
      </w:r>
    </w:p>
    <w:p w:rsidR="00C756FD" w:rsidRPr="00C756FD" w:rsidRDefault="00C756FD" w:rsidP="00A41A68">
      <w:pPr>
        <w:pStyle w:val="Paragraphedeliste"/>
        <w:widowControl w:val="0"/>
        <w:numPr>
          <w:ilvl w:val="0"/>
          <w:numId w:val="11"/>
        </w:numPr>
        <w:autoSpaceDE w:val="0"/>
        <w:autoSpaceDN w:val="0"/>
        <w:adjustRightInd w:val="0"/>
        <w:spacing w:before="120" w:after="120" w:line="240" w:lineRule="auto"/>
        <w:ind w:left="0"/>
        <w:jc w:val="both"/>
        <w:rPr>
          <w:lang w:eastAsia="ar-MA" w:bidi="ar-MA"/>
        </w:rPr>
      </w:pPr>
      <w:r w:rsidRPr="00C756FD">
        <w:rPr>
          <w:b/>
          <w:bCs/>
          <w:lang w:eastAsia="ar-MA" w:bidi="ar-MA"/>
        </w:rPr>
        <w:t>Article d’habillement et chaussures</w:t>
      </w:r>
      <w:r w:rsidRPr="00C756FD">
        <w:rPr>
          <w:lang w:eastAsia="ar-MA" w:bidi="ar-MA"/>
        </w:rPr>
        <w:t xml:space="preserve"> : l’indice de cette division a crû de </w:t>
      </w:r>
      <w:r w:rsidR="009C7AE8">
        <w:rPr>
          <w:lang w:eastAsia="ar-MA" w:bidi="ar-MA"/>
        </w:rPr>
        <w:t>9</w:t>
      </w:r>
      <w:r w:rsidRPr="00C756FD">
        <w:rPr>
          <w:lang w:eastAsia="ar-MA" w:bidi="ar-MA"/>
        </w:rPr>
        <w:t>,</w:t>
      </w:r>
      <w:r w:rsidR="009C7AE8">
        <w:rPr>
          <w:lang w:eastAsia="ar-MA" w:bidi="ar-MA"/>
        </w:rPr>
        <w:t>8</w:t>
      </w:r>
      <w:r w:rsidR="00452B7D">
        <w:rPr>
          <w:lang w:eastAsia="ar-MA" w:bidi="ar-MA"/>
        </w:rPr>
        <w:t>%</w:t>
      </w:r>
      <w:r w:rsidR="00A41A68">
        <w:rPr>
          <w:lang w:eastAsia="ar-MA" w:bidi="ar-MA"/>
        </w:rPr>
        <w:t xml:space="preserve"> (+4,8% au niveau national)</w:t>
      </w:r>
      <w:r w:rsidR="00452B7D">
        <w:rPr>
          <w:lang w:eastAsia="ar-MA" w:bidi="ar-MA"/>
        </w:rPr>
        <w:t>. C</w:t>
      </w:r>
      <w:r w:rsidRPr="00C756FD">
        <w:rPr>
          <w:lang w:eastAsia="ar-MA" w:bidi="ar-MA"/>
        </w:rPr>
        <w:t xml:space="preserve">ette </w:t>
      </w:r>
      <w:r w:rsidR="00E867F5">
        <w:rPr>
          <w:lang w:eastAsia="ar-MA" w:bidi="ar-MA"/>
        </w:rPr>
        <w:t>augmentation</w:t>
      </w:r>
      <w:r w:rsidRPr="00C756FD">
        <w:rPr>
          <w:lang w:eastAsia="ar-MA" w:bidi="ar-MA"/>
        </w:rPr>
        <w:t xml:space="preserve"> est expliquée par la hausse des prix des « Articles d’habillement » de </w:t>
      </w:r>
      <w:r w:rsidR="00A41A68">
        <w:rPr>
          <w:lang w:eastAsia="ar-MA" w:bidi="ar-MA"/>
        </w:rPr>
        <w:t>6</w:t>
      </w:r>
      <w:r w:rsidRPr="00C756FD">
        <w:rPr>
          <w:lang w:eastAsia="ar-MA" w:bidi="ar-MA"/>
        </w:rPr>
        <w:t>,</w:t>
      </w:r>
      <w:r w:rsidR="00A41A68">
        <w:rPr>
          <w:lang w:eastAsia="ar-MA" w:bidi="ar-MA"/>
        </w:rPr>
        <w:t>4</w:t>
      </w:r>
      <w:r w:rsidRPr="00C756FD">
        <w:rPr>
          <w:lang w:eastAsia="ar-MA" w:bidi="ar-MA"/>
        </w:rPr>
        <w:t xml:space="preserve">% et des « Chaussures » de </w:t>
      </w:r>
      <w:r w:rsidR="00A41A68">
        <w:rPr>
          <w:lang w:eastAsia="ar-MA" w:bidi="ar-MA"/>
        </w:rPr>
        <w:t>24,7</w:t>
      </w:r>
      <w:r w:rsidRPr="00C756FD">
        <w:rPr>
          <w:lang w:eastAsia="ar-MA" w:bidi="ar-MA"/>
        </w:rPr>
        <w:t>%;</w:t>
      </w:r>
    </w:p>
    <w:p w:rsidR="00C756FD" w:rsidRPr="002A3E84" w:rsidRDefault="00C756FD" w:rsidP="00ED7277">
      <w:pPr>
        <w:pStyle w:val="Paragraphedeliste"/>
        <w:widowControl w:val="0"/>
        <w:autoSpaceDE w:val="0"/>
        <w:autoSpaceDN w:val="0"/>
        <w:adjustRightInd w:val="0"/>
        <w:spacing w:before="120" w:after="120" w:line="240" w:lineRule="auto"/>
        <w:jc w:val="both"/>
        <w:rPr>
          <w:sz w:val="16"/>
          <w:szCs w:val="16"/>
          <w:lang w:eastAsia="ar-MA" w:bidi="ar-MA"/>
        </w:rPr>
      </w:pPr>
    </w:p>
    <w:p w:rsidR="00C756FD" w:rsidRPr="00C756FD" w:rsidRDefault="00C756FD" w:rsidP="00A41A68">
      <w:pPr>
        <w:pStyle w:val="Paragraphedeliste"/>
        <w:widowControl w:val="0"/>
        <w:numPr>
          <w:ilvl w:val="0"/>
          <w:numId w:val="11"/>
        </w:numPr>
        <w:autoSpaceDE w:val="0"/>
        <w:autoSpaceDN w:val="0"/>
        <w:adjustRightInd w:val="0"/>
        <w:spacing w:before="120" w:after="120" w:line="240" w:lineRule="auto"/>
        <w:ind w:left="0"/>
        <w:jc w:val="both"/>
        <w:rPr>
          <w:lang w:eastAsia="ar-MA" w:bidi="ar-MA"/>
        </w:rPr>
      </w:pPr>
      <w:r w:rsidRPr="00C756FD">
        <w:rPr>
          <w:b/>
          <w:bCs/>
          <w:lang w:eastAsia="ar-MA" w:bidi="ar-MA"/>
        </w:rPr>
        <w:t>Logement, eau, électricité et autres combustibles</w:t>
      </w:r>
      <w:r w:rsidRPr="00C756FD">
        <w:rPr>
          <w:lang w:eastAsia="ar-MA" w:bidi="ar-MA"/>
        </w:rPr>
        <w:t xml:space="preserve"> : l’indice annuel moyen de cette division a évolué de </w:t>
      </w:r>
      <w:r w:rsidR="00A41A68">
        <w:rPr>
          <w:lang w:eastAsia="ar-MA" w:bidi="ar-MA"/>
        </w:rPr>
        <w:t>1</w:t>
      </w:r>
      <w:r w:rsidRPr="00C756FD">
        <w:rPr>
          <w:lang w:eastAsia="ar-MA" w:bidi="ar-MA"/>
        </w:rPr>
        <w:t>,</w:t>
      </w:r>
      <w:r w:rsidR="00A41A68">
        <w:rPr>
          <w:lang w:eastAsia="ar-MA" w:bidi="ar-MA"/>
        </w:rPr>
        <w:t>4</w:t>
      </w:r>
      <w:r w:rsidRPr="00C756FD">
        <w:rPr>
          <w:lang w:eastAsia="ar-MA" w:bidi="ar-MA"/>
        </w:rPr>
        <w:t xml:space="preserve">% </w:t>
      </w:r>
      <w:r w:rsidR="00A41A68">
        <w:rPr>
          <w:lang w:eastAsia="ar-MA" w:bidi="ar-MA"/>
        </w:rPr>
        <w:t xml:space="preserve">(+1,0% au niveau national) </w:t>
      </w:r>
      <w:r w:rsidRPr="00C756FD">
        <w:rPr>
          <w:lang w:eastAsia="ar-MA" w:bidi="ar-MA"/>
        </w:rPr>
        <w:t xml:space="preserve">due à la hausse des prix des « loyers effectifs » de </w:t>
      </w:r>
      <w:r w:rsidR="00A41A68">
        <w:rPr>
          <w:lang w:eastAsia="ar-MA" w:bidi="ar-MA"/>
        </w:rPr>
        <w:t>1</w:t>
      </w:r>
      <w:r w:rsidRPr="00C756FD">
        <w:rPr>
          <w:lang w:eastAsia="ar-MA" w:bidi="ar-MA"/>
        </w:rPr>
        <w:t>,</w:t>
      </w:r>
      <w:r w:rsidR="00A41A68">
        <w:rPr>
          <w:lang w:eastAsia="ar-MA" w:bidi="ar-MA"/>
        </w:rPr>
        <w:t>1</w:t>
      </w:r>
      <w:r w:rsidRPr="00C756FD">
        <w:rPr>
          <w:lang w:eastAsia="ar-MA" w:bidi="ar-MA"/>
        </w:rPr>
        <w:t>%</w:t>
      </w:r>
      <w:r w:rsidR="006764EB">
        <w:rPr>
          <w:lang w:eastAsia="ar-MA" w:bidi="ar-MA"/>
        </w:rPr>
        <w:t> ;</w:t>
      </w:r>
      <w:r w:rsidRPr="00C756FD">
        <w:rPr>
          <w:lang w:eastAsia="ar-MA" w:bidi="ar-MA"/>
        </w:rPr>
        <w:t>d</w:t>
      </w:r>
      <w:r w:rsidR="006764EB">
        <w:rPr>
          <w:lang w:eastAsia="ar-MA" w:bidi="ar-MA"/>
        </w:rPr>
        <w:t xml:space="preserve">e </w:t>
      </w:r>
      <w:r w:rsidRPr="00C756FD">
        <w:rPr>
          <w:lang w:eastAsia="ar-MA" w:bidi="ar-MA"/>
        </w:rPr>
        <w:t>l’« </w:t>
      </w:r>
      <w:r w:rsidR="004A135A">
        <w:rPr>
          <w:lang w:eastAsia="ar-MA" w:bidi="ar-MA"/>
        </w:rPr>
        <w:t>E</w:t>
      </w:r>
      <w:r w:rsidR="004A135A" w:rsidRPr="004A135A">
        <w:rPr>
          <w:lang w:eastAsia="ar-MA" w:bidi="ar-MA"/>
        </w:rPr>
        <w:t>ntretien et réparation de logement</w:t>
      </w:r>
      <w:r w:rsidR="004A135A" w:rsidRPr="00C756FD">
        <w:rPr>
          <w:lang w:eastAsia="ar-MA" w:bidi="ar-MA"/>
        </w:rPr>
        <w:t> </w:t>
      </w:r>
      <w:r w:rsidRPr="00C756FD">
        <w:rPr>
          <w:lang w:eastAsia="ar-MA" w:bidi="ar-MA"/>
        </w:rPr>
        <w:t xml:space="preserve">» de  </w:t>
      </w:r>
      <w:r w:rsidR="00A41A68">
        <w:rPr>
          <w:lang w:eastAsia="ar-MA" w:bidi="ar-MA"/>
        </w:rPr>
        <w:t>9</w:t>
      </w:r>
      <w:r w:rsidRPr="00C756FD">
        <w:rPr>
          <w:lang w:eastAsia="ar-MA" w:bidi="ar-MA"/>
        </w:rPr>
        <w:t>,</w:t>
      </w:r>
      <w:r w:rsidR="00A41A68">
        <w:rPr>
          <w:lang w:eastAsia="ar-MA" w:bidi="ar-MA"/>
        </w:rPr>
        <w:t>8</w:t>
      </w:r>
      <w:r w:rsidRPr="00C756FD">
        <w:rPr>
          <w:lang w:eastAsia="ar-MA" w:bidi="ar-MA"/>
        </w:rPr>
        <w:t>% </w:t>
      </w:r>
      <w:r w:rsidR="006764EB">
        <w:rPr>
          <w:lang w:eastAsia="ar-MA" w:bidi="ar-MA"/>
        </w:rPr>
        <w:t xml:space="preserve"> et </w:t>
      </w:r>
      <w:r w:rsidR="003373C9">
        <w:rPr>
          <w:lang w:eastAsia="ar-MA" w:bidi="ar-MA"/>
        </w:rPr>
        <w:t>de l’« E</w:t>
      </w:r>
      <w:r w:rsidR="003373C9" w:rsidRPr="003373C9">
        <w:rPr>
          <w:lang w:eastAsia="ar-MA" w:bidi="ar-MA"/>
        </w:rPr>
        <w:t>lectricité, gaz et autres combustibles</w:t>
      </w:r>
      <w:r w:rsidR="003373C9">
        <w:rPr>
          <w:lang w:eastAsia="ar-MA" w:bidi="ar-MA"/>
        </w:rPr>
        <w:t> » de 0,</w:t>
      </w:r>
      <w:r w:rsidR="00A41A68">
        <w:rPr>
          <w:lang w:eastAsia="ar-MA" w:bidi="ar-MA"/>
        </w:rPr>
        <w:t>1</w:t>
      </w:r>
      <w:r w:rsidR="003373C9">
        <w:rPr>
          <w:lang w:eastAsia="ar-MA" w:bidi="ar-MA"/>
        </w:rPr>
        <w:t>%</w:t>
      </w:r>
      <w:r w:rsidR="001C14F7">
        <w:rPr>
          <w:lang w:eastAsia="ar-MA" w:bidi="ar-MA"/>
        </w:rPr>
        <w:t> ;</w:t>
      </w:r>
    </w:p>
    <w:p w:rsidR="00C756FD" w:rsidRDefault="00C756FD" w:rsidP="00ED7277">
      <w:pPr>
        <w:pStyle w:val="Paragraphedeliste"/>
        <w:widowControl w:val="0"/>
        <w:autoSpaceDE w:val="0"/>
        <w:autoSpaceDN w:val="0"/>
        <w:adjustRightInd w:val="0"/>
        <w:spacing w:before="120" w:after="120" w:line="240" w:lineRule="auto"/>
        <w:jc w:val="both"/>
        <w:rPr>
          <w:sz w:val="16"/>
          <w:szCs w:val="16"/>
          <w:lang w:eastAsia="ar-MA" w:bidi="ar-MA"/>
        </w:rPr>
      </w:pPr>
    </w:p>
    <w:p w:rsidR="00535D49" w:rsidRPr="002A3E84" w:rsidRDefault="00535D49" w:rsidP="00ED7277">
      <w:pPr>
        <w:pStyle w:val="Paragraphedeliste"/>
        <w:widowControl w:val="0"/>
        <w:autoSpaceDE w:val="0"/>
        <w:autoSpaceDN w:val="0"/>
        <w:adjustRightInd w:val="0"/>
        <w:spacing w:before="120" w:after="120" w:line="240" w:lineRule="auto"/>
        <w:jc w:val="both"/>
        <w:rPr>
          <w:sz w:val="16"/>
          <w:szCs w:val="16"/>
          <w:lang w:eastAsia="ar-MA" w:bidi="ar-MA"/>
        </w:rPr>
      </w:pPr>
    </w:p>
    <w:p w:rsidR="00C756FD" w:rsidRPr="00C756FD" w:rsidRDefault="00C756FD" w:rsidP="0081015F">
      <w:pPr>
        <w:pStyle w:val="Paragraphedeliste"/>
        <w:widowControl w:val="0"/>
        <w:numPr>
          <w:ilvl w:val="0"/>
          <w:numId w:val="11"/>
        </w:numPr>
        <w:autoSpaceDE w:val="0"/>
        <w:autoSpaceDN w:val="0"/>
        <w:adjustRightInd w:val="0"/>
        <w:spacing w:before="120" w:after="120" w:line="240" w:lineRule="auto"/>
        <w:ind w:left="0"/>
        <w:jc w:val="both"/>
        <w:rPr>
          <w:lang w:eastAsia="ar-MA" w:bidi="ar-MA"/>
        </w:rPr>
      </w:pPr>
      <w:r w:rsidRPr="00C756FD">
        <w:rPr>
          <w:b/>
          <w:bCs/>
          <w:lang w:eastAsia="ar-MA" w:bidi="ar-MA"/>
        </w:rPr>
        <w:t>Meubles, articles de ménages et entretien courant du foyer</w:t>
      </w:r>
      <w:r w:rsidRPr="00C756FD">
        <w:rPr>
          <w:lang w:eastAsia="ar-MA" w:bidi="ar-MA"/>
        </w:rPr>
        <w:t xml:space="preserve"> : </w:t>
      </w:r>
      <w:r w:rsidR="0081015F">
        <w:t>l’augmentation observée dans cette division (1,3% au niveau de la ville d’Agadir et 5,1% au niveau national) est due essentiellement à des variations touchant la totalité de ses groupes, allant de +0,2% pour les « V</w:t>
      </w:r>
      <w:r w:rsidR="0081015F" w:rsidRPr="0081015F">
        <w:t>errerie, vaisselle et ustensiles de ménage</w:t>
      </w:r>
      <w:r w:rsidR="0081015F">
        <w:t xml:space="preserve"> » à +6,8% pour les « Meubles, articles d’ameublement, tapis et autres revêtements de sol »</w:t>
      </w:r>
      <w:r w:rsidRPr="00C756FD">
        <w:rPr>
          <w:lang w:eastAsia="ar-MA" w:bidi="ar-MA"/>
        </w:rPr>
        <w:t xml:space="preserve">. </w:t>
      </w:r>
      <w:r w:rsidR="006764EB">
        <w:rPr>
          <w:lang w:eastAsia="ar-MA" w:bidi="ar-MA"/>
        </w:rPr>
        <w:t xml:space="preserve">Tandis que le </w:t>
      </w:r>
      <w:r w:rsidR="00535D49">
        <w:rPr>
          <w:lang w:eastAsia="ar-MA" w:bidi="ar-MA"/>
        </w:rPr>
        <w:t>prix des</w:t>
      </w:r>
      <w:r w:rsidR="006764EB">
        <w:rPr>
          <w:lang w:eastAsia="ar-MA" w:bidi="ar-MA"/>
        </w:rPr>
        <w:t xml:space="preserve"> groupes restants a enregistré une stabilité</w:t>
      </w:r>
      <w:r w:rsidRPr="00C756FD">
        <w:rPr>
          <w:lang w:eastAsia="ar-MA" w:bidi="ar-MA"/>
        </w:rPr>
        <w:t> ;</w:t>
      </w:r>
    </w:p>
    <w:p w:rsidR="00C756FD" w:rsidRDefault="00C756FD" w:rsidP="00ED7277">
      <w:pPr>
        <w:pStyle w:val="Paragraphedeliste"/>
        <w:spacing w:line="240" w:lineRule="auto"/>
        <w:rPr>
          <w:sz w:val="16"/>
          <w:szCs w:val="16"/>
          <w:rtl/>
          <w:lang w:eastAsia="ar-MA" w:bidi="ar-MA"/>
        </w:rPr>
      </w:pPr>
    </w:p>
    <w:p w:rsidR="003167AA" w:rsidRDefault="003167AA" w:rsidP="00ED7277">
      <w:pPr>
        <w:pStyle w:val="Paragraphedeliste"/>
        <w:spacing w:line="240" w:lineRule="auto"/>
        <w:rPr>
          <w:sz w:val="16"/>
          <w:szCs w:val="16"/>
          <w:lang w:eastAsia="ar-MA" w:bidi="ar-MA"/>
        </w:rPr>
      </w:pPr>
    </w:p>
    <w:p w:rsidR="0081015F" w:rsidRPr="002A3E84" w:rsidRDefault="0081015F" w:rsidP="00ED7277">
      <w:pPr>
        <w:pStyle w:val="Paragraphedeliste"/>
        <w:spacing w:line="240" w:lineRule="auto"/>
        <w:rPr>
          <w:sz w:val="16"/>
          <w:szCs w:val="16"/>
          <w:lang w:eastAsia="ar-MA" w:bidi="ar-MA"/>
        </w:rPr>
      </w:pPr>
    </w:p>
    <w:p w:rsidR="00C756FD" w:rsidRDefault="00C756FD" w:rsidP="0081015F">
      <w:pPr>
        <w:pStyle w:val="Paragraphedeliste"/>
        <w:widowControl w:val="0"/>
        <w:numPr>
          <w:ilvl w:val="0"/>
          <w:numId w:val="11"/>
        </w:numPr>
        <w:autoSpaceDE w:val="0"/>
        <w:autoSpaceDN w:val="0"/>
        <w:adjustRightInd w:val="0"/>
        <w:spacing w:before="120" w:after="120"/>
        <w:ind w:left="0"/>
        <w:jc w:val="both"/>
        <w:rPr>
          <w:lang w:eastAsia="ar-MA" w:bidi="ar-MA"/>
        </w:rPr>
      </w:pPr>
      <w:r w:rsidRPr="00C756FD">
        <w:rPr>
          <w:b/>
          <w:bCs/>
          <w:lang w:eastAsia="ar-MA" w:bidi="ar-MA"/>
        </w:rPr>
        <w:t>Santé</w:t>
      </w:r>
      <w:r w:rsidRPr="00C756FD">
        <w:rPr>
          <w:lang w:eastAsia="ar-MA" w:bidi="ar-MA"/>
        </w:rPr>
        <w:t xml:space="preserve"> : l’indice annuel de </w:t>
      </w:r>
      <w:r w:rsidR="00C70DB9">
        <w:rPr>
          <w:lang w:eastAsia="ar-MA" w:bidi="ar-MA"/>
        </w:rPr>
        <w:t xml:space="preserve">la santé a </w:t>
      </w:r>
      <w:r w:rsidR="0081015F">
        <w:rPr>
          <w:lang w:eastAsia="ar-MA" w:bidi="ar-MA"/>
        </w:rPr>
        <w:t>enregistré</w:t>
      </w:r>
      <w:r w:rsidR="00C70DB9">
        <w:rPr>
          <w:lang w:eastAsia="ar-MA" w:bidi="ar-MA"/>
        </w:rPr>
        <w:t xml:space="preserve"> une </w:t>
      </w:r>
      <w:r w:rsidR="0081015F">
        <w:rPr>
          <w:lang w:eastAsia="ar-MA" w:bidi="ar-MA"/>
        </w:rPr>
        <w:t>baisse de 0,1% (contre +0,1% au niveau national)</w:t>
      </w:r>
      <w:r w:rsidR="001C14F7">
        <w:rPr>
          <w:lang w:eastAsia="ar-MA" w:bidi="ar-MA"/>
        </w:rPr>
        <w:t>due essentiellement</w:t>
      </w:r>
      <w:r w:rsidR="00C70DB9">
        <w:rPr>
          <w:lang w:eastAsia="ar-MA" w:bidi="ar-MA"/>
        </w:rPr>
        <w:t xml:space="preserve"> à la </w:t>
      </w:r>
      <w:r w:rsidR="001C14F7">
        <w:rPr>
          <w:lang w:eastAsia="ar-MA" w:bidi="ar-MA"/>
        </w:rPr>
        <w:t>chute</w:t>
      </w:r>
      <w:r w:rsidR="0081015F">
        <w:rPr>
          <w:lang w:eastAsia="ar-MA" w:bidi="ar-MA"/>
        </w:rPr>
        <w:t xml:space="preserve">des </w:t>
      </w:r>
      <w:r w:rsidR="001C14F7" w:rsidRPr="00C756FD">
        <w:rPr>
          <w:lang w:eastAsia="ar-MA" w:bidi="ar-MA"/>
        </w:rPr>
        <w:t>« Produits, appareils et matériels médicaux » de 0,</w:t>
      </w:r>
      <w:r w:rsidR="0081015F">
        <w:rPr>
          <w:lang w:eastAsia="ar-MA" w:bidi="ar-MA"/>
        </w:rPr>
        <w:t>6</w:t>
      </w:r>
      <w:r w:rsidR="001C14F7">
        <w:rPr>
          <w:lang w:eastAsia="ar-MA" w:bidi="ar-MA"/>
        </w:rPr>
        <w:t>% d’une</w:t>
      </w:r>
      <w:r w:rsidR="001C14F7" w:rsidRPr="00C756FD">
        <w:rPr>
          <w:lang w:eastAsia="ar-MA" w:bidi="ar-MA"/>
        </w:rPr>
        <w:t xml:space="preserve"> part</w:t>
      </w:r>
      <w:r w:rsidR="001C14F7">
        <w:rPr>
          <w:lang w:eastAsia="ar-MA" w:bidi="ar-MA"/>
        </w:rPr>
        <w:t xml:space="preserve"> et à la </w:t>
      </w:r>
      <w:r w:rsidR="0081015F">
        <w:rPr>
          <w:lang w:eastAsia="ar-MA" w:bidi="ar-MA"/>
        </w:rPr>
        <w:t>stagnationdes autres groupes</w:t>
      </w:r>
      <w:r w:rsidR="0081015F" w:rsidRPr="00C756FD">
        <w:rPr>
          <w:lang w:eastAsia="ar-MA" w:bidi="ar-MA"/>
        </w:rPr>
        <w:t xml:space="preserve"> ;</w:t>
      </w:r>
    </w:p>
    <w:p w:rsidR="00C70DB9" w:rsidRPr="002A3E84" w:rsidRDefault="00C70DB9" w:rsidP="00ED7277">
      <w:pPr>
        <w:pStyle w:val="Paragraphedeliste"/>
        <w:widowControl w:val="0"/>
        <w:autoSpaceDE w:val="0"/>
        <w:autoSpaceDN w:val="0"/>
        <w:adjustRightInd w:val="0"/>
        <w:spacing w:before="120" w:after="120" w:line="240" w:lineRule="auto"/>
        <w:ind w:left="0"/>
        <w:jc w:val="both"/>
        <w:rPr>
          <w:sz w:val="16"/>
          <w:szCs w:val="16"/>
          <w:lang w:eastAsia="ar-MA" w:bidi="ar-MA"/>
        </w:rPr>
      </w:pPr>
    </w:p>
    <w:p w:rsidR="003675B2" w:rsidRDefault="00C756FD" w:rsidP="009704A1">
      <w:pPr>
        <w:pStyle w:val="Paragraphedeliste"/>
        <w:widowControl w:val="0"/>
        <w:numPr>
          <w:ilvl w:val="0"/>
          <w:numId w:val="11"/>
        </w:numPr>
        <w:autoSpaceDE w:val="0"/>
        <w:autoSpaceDN w:val="0"/>
        <w:adjustRightInd w:val="0"/>
        <w:spacing w:before="60" w:after="60"/>
        <w:ind w:left="0"/>
        <w:jc w:val="both"/>
        <w:rPr>
          <w:lang w:eastAsia="ar-MA" w:bidi="ar-MA"/>
        </w:rPr>
      </w:pPr>
      <w:r w:rsidRPr="00C756FD">
        <w:rPr>
          <w:b/>
          <w:bCs/>
          <w:lang w:eastAsia="ar-MA" w:bidi="ar-MA"/>
        </w:rPr>
        <w:t>Transports</w:t>
      </w:r>
      <w:r w:rsidRPr="00C756FD">
        <w:rPr>
          <w:lang w:eastAsia="ar-MA" w:bidi="ar-MA"/>
        </w:rPr>
        <w:t xml:space="preserve"> : </w:t>
      </w:r>
      <w:r w:rsidR="003C0DD3">
        <w:t>au terme de l’année 2022, l’indice de la division des « Transports » a évolué de 11,0% (+12,2% au niveau national), par rapport à l’année 2021</w:t>
      </w:r>
      <w:r w:rsidR="009704A1">
        <w:t>, suite à la hausse des prix del’«Achat de véhicules » de 5,8%</w:t>
      </w:r>
      <w:r w:rsidR="009704A1">
        <w:rPr>
          <w:lang w:eastAsia="ar-MA" w:bidi="ar-MA"/>
        </w:rPr>
        <w:t> </w:t>
      </w:r>
      <w:r w:rsidR="009704A1">
        <w:t xml:space="preserve"> et des </w:t>
      </w:r>
      <w:r w:rsidR="003C0DD3">
        <w:t xml:space="preserve">« Dépenses d’utilisation des véhicules » de </w:t>
      </w:r>
      <w:r w:rsidR="009704A1">
        <w:t>24,6</w:t>
      </w:r>
      <w:r w:rsidR="003C0DD3">
        <w:t xml:space="preserve">% </w:t>
      </w:r>
      <w:r w:rsidR="009704A1">
        <w:t>d’une part, et à la baisse</w:t>
      </w:r>
      <w:r w:rsidR="003C0DD3">
        <w:t xml:space="preserve"> de</w:t>
      </w:r>
      <w:r w:rsidR="009704A1">
        <w:t>s« Services de transport » de 4,1%</w:t>
      </w:r>
      <w:r w:rsidR="00A92182">
        <w:rPr>
          <w:lang w:eastAsia="ar-MA" w:bidi="ar-MA"/>
        </w:rPr>
        <w:t>;</w:t>
      </w:r>
    </w:p>
    <w:p w:rsidR="00C756FD" w:rsidRPr="002A3E84" w:rsidRDefault="00C756FD" w:rsidP="00ED7277">
      <w:pPr>
        <w:pStyle w:val="Paragraphedeliste"/>
        <w:widowControl w:val="0"/>
        <w:autoSpaceDE w:val="0"/>
        <w:autoSpaceDN w:val="0"/>
        <w:adjustRightInd w:val="0"/>
        <w:spacing w:before="60" w:after="60" w:line="240" w:lineRule="auto"/>
        <w:ind w:left="0"/>
        <w:jc w:val="both"/>
        <w:rPr>
          <w:sz w:val="16"/>
          <w:szCs w:val="16"/>
          <w:lang w:eastAsia="ar-MA" w:bidi="ar-MA"/>
        </w:rPr>
      </w:pPr>
    </w:p>
    <w:p w:rsidR="00C756FD" w:rsidRPr="00C756FD" w:rsidRDefault="00C756FD" w:rsidP="00225A29">
      <w:pPr>
        <w:pStyle w:val="Paragraphedeliste"/>
        <w:widowControl w:val="0"/>
        <w:numPr>
          <w:ilvl w:val="0"/>
          <w:numId w:val="11"/>
        </w:numPr>
        <w:autoSpaceDE w:val="0"/>
        <w:autoSpaceDN w:val="0"/>
        <w:adjustRightInd w:val="0"/>
        <w:spacing w:before="120" w:after="120"/>
        <w:ind w:left="0"/>
        <w:jc w:val="both"/>
        <w:rPr>
          <w:lang w:eastAsia="ar-MA" w:bidi="ar-MA"/>
        </w:rPr>
      </w:pPr>
      <w:r w:rsidRPr="00C756FD">
        <w:rPr>
          <w:b/>
          <w:bCs/>
          <w:lang w:eastAsia="ar-MA" w:bidi="ar-MA"/>
        </w:rPr>
        <w:t>Communications</w:t>
      </w:r>
      <w:r w:rsidRPr="00C756FD">
        <w:rPr>
          <w:lang w:eastAsia="ar-MA" w:bidi="ar-MA"/>
        </w:rPr>
        <w:t xml:space="preserve"> : </w:t>
      </w:r>
      <w:r w:rsidR="00225A29">
        <w:t>l’indice de cette division a évolué de 0,7% par rapport à l’année 2021 (0,3% au niveau national), suite à la hausse des prix du « Matériel de téléphonie et de télécopie » de 7,1%</w:t>
      </w:r>
      <w:r w:rsidR="00E401EC">
        <w:rPr>
          <w:lang w:eastAsia="ar-MA" w:bidi="ar-MA"/>
        </w:rPr>
        <w:t>;</w:t>
      </w:r>
    </w:p>
    <w:p w:rsidR="00C756FD" w:rsidRPr="002A3E84" w:rsidRDefault="00C756FD" w:rsidP="00ED7277">
      <w:pPr>
        <w:pStyle w:val="Paragraphedeliste"/>
        <w:widowControl w:val="0"/>
        <w:autoSpaceDE w:val="0"/>
        <w:autoSpaceDN w:val="0"/>
        <w:adjustRightInd w:val="0"/>
        <w:spacing w:before="120" w:after="120" w:line="240" w:lineRule="auto"/>
        <w:jc w:val="both"/>
        <w:rPr>
          <w:sz w:val="16"/>
          <w:szCs w:val="16"/>
          <w:lang w:eastAsia="ar-MA" w:bidi="ar-MA"/>
        </w:rPr>
      </w:pPr>
    </w:p>
    <w:p w:rsidR="00243DF2" w:rsidRDefault="00C756FD" w:rsidP="006E4A55">
      <w:pPr>
        <w:pStyle w:val="Paragraphedeliste"/>
        <w:widowControl w:val="0"/>
        <w:numPr>
          <w:ilvl w:val="0"/>
          <w:numId w:val="11"/>
        </w:numPr>
        <w:autoSpaceDE w:val="0"/>
        <w:autoSpaceDN w:val="0"/>
        <w:adjustRightInd w:val="0"/>
        <w:spacing w:before="120" w:after="120"/>
        <w:ind w:left="0"/>
        <w:jc w:val="both"/>
        <w:rPr>
          <w:lang w:eastAsia="ar-MA" w:bidi="ar-MA"/>
        </w:rPr>
      </w:pPr>
      <w:r w:rsidRPr="00C756FD">
        <w:rPr>
          <w:b/>
          <w:bCs/>
          <w:lang w:eastAsia="ar-MA" w:bidi="ar-MA"/>
        </w:rPr>
        <w:t>Loisirs et culture</w:t>
      </w:r>
      <w:r w:rsidRPr="00C756FD">
        <w:rPr>
          <w:lang w:eastAsia="ar-MA" w:bidi="ar-MA"/>
        </w:rPr>
        <w:t xml:space="preserve"> : </w:t>
      </w:r>
      <w:r w:rsidR="006E4A55">
        <w:t xml:space="preserve">l’indice de cette division a enregistré une augmentation de 0,8% entre 2021 et 2022 (4,1% au niveau national), due essentiellement à des variations touchant la majorité de ses groupes allant de -1,6% pour le « Matériel audiovisuel, photographique et de traitement de l'information </w:t>
      </w:r>
      <w:r w:rsidR="00775EBB">
        <w:t>»  à</w:t>
      </w:r>
      <w:r w:rsidR="006E4A55">
        <w:t xml:space="preserve"> +9.1 % pour les « forfaits touristiques »</w:t>
      </w:r>
      <w:r w:rsidR="00FE42A6">
        <w:rPr>
          <w:lang w:eastAsia="ar-MA" w:bidi="ar-MA"/>
        </w:rPr>
        <w:t>, alors que les autres groupes ont enregistrés une stagnation ;</w:t>
      </w:r>
    </w:p>
    <w:p w:rsidR="002A3E84" w:rsidRPr="002A3E84" w:rsidRDefault="002A3E84" w:rsidP="00ED7277">
      <w:pPr>
        <w:pStyle w:val="Paragraphedeliste"/>
        <w:widowControl w:val="0"/>
        <w:autoSpaceDE w:val="0"/>
        <w:autoSpaceDN w:val="0"/>
        <w:adjustRightInd w:val="0"/>
        <w:spacing w:before="120" w:after="120"/>
        <w:ind w:left="0"/>
        <w:jc w:val="both"/>
        <w:rPr>
          <w:sz w:val="16"/>
          <w:szCs w:val="16"/>
          <w:lang w:eastAsia="ar-MA" w:bidi="ar-MA"/>
        </w:rPr>
      </w:pPr>
    </w:p>
    <w:p w:rsidR="00C756FD" w:rsidRPr="00C756FD" w:rsidRDefault="00C756FD" w:rsidP="00775EBB">
      <w:pPr>
        <w:pStyle w:val="Paragraphedeliste"/>
        <w:widowControl w:val="0"/>
        <w:numPr>
          <w:ilvl w:val="0"/>
          <w:numId w:val="11"/>
        </w:numPr>
        <w:autoSpaceDE w:val="0"/>
        <w:autoSpaceDN w:val="0"/>
        <w:adjustRightInd w:val="0"/>
        <w:spacing w:before="120" w:after="120"/>
        <w:ind w:left="0"/>
        <w:jc w:val="both"/>
        <w:rPr>
          <w:lang w:eastAsia="ar-MA" w:bidi="ar-MA"/>
        </w:rPr>
      </w:pPr>
      <w:r w:rsidRPr="00C756FD">
        <w:rPr>
          <w:b/>
          <w:bCs/>
          <w:lang w:eastAsia="ar-MA" w:bidi="ar-MA"/>
        </w:rPr>
        <w:t>Enseignement</w:t>
      </w:r>
      <w:r w:rsidRPr="00C756FD">
        <w:rPr>
          <w:lang w:eastAsia="ar-MA" w:bidi="ar-MA"/>
        </w:rPr>
        <w:t xml:space="preserve"> : l’indice de cette division a </w:t>
      </w:r>
      <w:r w:rsidR="00775EBB">
        <w:rPr>
          <w:lang w:eastAsia="ar-MA" w:bidi="ar-MA"/>
        </w:rPr>
        <w:t>évolué</w:t>
      </w:r>
      <w:r w:rsidRPr="00C756FD">
        <w:rPr>
          <w:lang w:eastAsia="ar-MA" w:bidi="ar-MA"/>
        </w:rPr>
        <w:t xml:space="preserve"> de </w:t>
      </w:r>
      <w:r w:rsidR="007128CF">
        <w:rPr>
          <w:lang w:eastAsia="ar-MA" w:bidi="ar-MA"/>
        </w:rPr>
        <w:t>1,</w:t>
      </w:r>
      <w:r w:rsidR="00775EBB">
        <w:rPr>
          <w:lang w:eastAsia="ar-MA" w:bidi="ar-MA"/>
        </w:rPr>
        <w:t>1</w:t>
      </w:r>
      <w:r w:rsidRPr="00C756FD">
        <w:rPr>
          <w:lang w:eastAsia="ar-MA" w:bidi="ar-MA"/>
        </w:rPr>
        <w:t>%</w:t>
      </w:r>
      <w:r w:rsidR="00775EBB">
        <w:rPr>
          <w:lang w:eastAsia="ar-MA" w:bidi="ar-MA"/>
        </w:rPr>
        <w:t xml:space="preserve"> (</w:t>
      </w:r>
      <w:r w:rsidR="002C6F5A">
        <w:rPr>
          <w:lang w:eastAsia="ar-MA" w:bidi="ar-MA"/>
        </w:rPr>
        <w:t>+</w:t>
      </w:r>
      <w:r w:rsidR="00775EBB">
        <w:rPr>
          <w:lang w:eastAsia="ar-MA" w:bidi="ar-MA"/>
        </w:rPr>
        <w:t xml:space="preserve">2,2% au niveau national)par rapport à l’année précédente, </w:t>
      </w:r>
      <w:r w:rsidRPr="00C756FD">
        <w:rPr>
          <w:lang w:eastAsia="ar-MA" w:bidi="ar-MA"/>
        </w:rPr>
        <w:t>due</w:t>
      </w:r>
      <w:r w:rsidR="00775EBB">
        <w:rPr>
          <w:lang w:eastAsia="ar-MA" w:bidi="ar-MA"/>
        </w:rPr>
        <w:t xml:space="preserve"> principalement</w:t>
      </w:r>
      <w:r w:rsidRPr="00C756FD">
        <w:rPr>
          <w:lang w:eastAsia="ar-MA" w:bidi="ar-MA"/>
        </w:rPr>
        <w:t xml:space="preserve"> à la hausse des prix de « l’Enseignement préélémentaire et primaire » </w:t>
      </w:r>
      <w:r w:rsidR="00933FC4">
        <w:rPr>
          <w:lang w:eastAsia="ar-MA" w:bidi="ar-MA"/>
        </w:rPr>
        <w:t>de</w:t>
      </w:r>
      <w:r w:rsidR="007128CF">
        <w:rPr>
          <w:lang w:eastAsia="ar-MA" w:bidi="ar-MA"/>
        </w:rPr>
        <w:t xml:space="preserve"> 2,</w:t>
      </w:r>
      <w:r w:rsidR="00775EBB">
        <w:rPr>
          <w:lang w:eastAsia="ar-MA" w:bidi="ar-MA"/>
        </w:rPr>
        <w:t>4</w:t>
      </w:r>
      <w:r w:rsidR="00933FC4">
        <w:rPr>
          <w:lang w:eastAsia="ar-MA" w:bidi="ar-MA"/>
        </w:rPr>
        <w:t xml:space="preserve">%, </w:t>
      </w:r>
      <w:r w:rsidR="007128CF">
        <w:rPr>
          <w:lang w:eastAsia="ar-MA" w:bidi="ar-MA"/>
        </w:rPr>
        <w:t xml:space="preserve">et </w:t>
      </w:r>
      <w:r w:rsidR="00933FC4">
        <w:rPr>
          <w:lang w:eastAsia="ar-MA" w:bidi="ar-MA"/>
        </w:rPr>
        <w:t xml:space="preserve">de </w:t>
      </w:r>
      <w:r w:rsidR="007128CF">
        <w:rPr>
          <w:lang w:eastAsia="ar-MA" w:bidi="ar-MA"/>
        </w:rPr>
        <w:t>ceux</w:t>
      </w:r>
      <w:r w:rsidR="00933FC4">
        <w:rPr>
          <w:lang w:eastAsia="ar-MA" w:bidi="ar-MA"/>
        </w:rPr>
        <w:t xml:space="preserve"> de </w:t>
      </w:r>
      <w:r w:rsidRPr="00C756FD">
        <w:rPr>
          <w:lang w:eastAsia="ar-MA" w:bidi="ar-MA"/>
        </w:rPr>
        <w:t xml:space="preserve">« l’Enseignement secondaire » </w:t>
      </w:r>
      <w:r w:rsidR="00933FC4">
        <w:rPr>
          <w:lang w:eastAsia="ar-MA" w:bidi="ar-MA"/>
        </w:rPr>
        <w:t>de</w:t>
      </w:r>
      <w:r w:rsidR="00775EBB">
        <w:rPr>
          <w:lang w:eastAsia="ar-MA" w:bidi="ar-MA"/>
        </w:rPr>
        <w:t>0</w:t>
      </w:r>
      <w:r w:rsidRPr="00C756FD">
        <w:rPr>
          <w:lang w:eastAsia="ar-MA" w:bidi="ar-MA"/>
        </w:rPr>
        <w:t>,</w:t>
      </w:r>
      <w:r w:rsidR="00775EBB">
        <w:rPr>
          <w:lang w:eastAsia="ar-MA" w:bidi="ar-MA"/>
        </w:rPr>
        <w:t>6</w:t>
      </w:r>
      <w:r w:rsidRPr="00C756FD">
        <w:rPr>
          <w:lang w:eastAsia="ar-MA" w:bidi="ar-MA"/>
        </w:rPr>
        <w:t>%, et à la stagnation des prix de « l’Enseignement postsecondaire non supérieur »</w:t>
      </w:r>
      <w:r w:rsidR="00933FC4">
        <w:rPr>
          <w:lang w:eastAsia="ar-MA" w:bidi="ar-MA"/>
        </w:rPr>
        <w:t>,de « </w:t>
      </w:r>
      <w:r w:rsidR="00933FC4" w:rsidRPr="00C756FD">
        <w:rPr>
          <w:lang w:eastAsia="ar-MA" w:bidi="ar-MA"/>
        </w:rPr>
        <w:t>l’Enseignement supérieur »</w:t>
      </w:r>
      <w:r w:rsidRPr="00C756FD">
        <w:rPr>
          <w:lang w:eastAsia="ar-MA" w:bidi="ar-MA"/>
        </w:rPr>
        <w:t>et de « l’Enseignement non défini par niveau »;</w:t>
      </w:r>
    </w:p>
    <w:p w:rsidR="00C756FD" w:rsidRPr="002A3E84" w:rsidRDefault="00C756FD" w:rsidP="00ED7277">
      <w:pPr>
        <w:pStyle w:val="Paragraphedeliste"/>
        <w:spacing w:line="240" w:lineRule="auto"/>
        <w:rPr>
          <w:sz w:val="16"/>
          <w:szCs w:val="16"/>
          <w:lang w:eastAsia="ar-MA" w:bidi="ar-MA"/>
        </w:rPr>
      </w:pPr>
    </w:p>
    <w:p w:rsidR="00C756FD" w:rsidRPr="00C756FD" w:rsidRDefault="00C756FD" w:rsidP="00FE42A6">
      <w:pPr>
        <w:pStyle w:val="Paragraphedeliste"/>
        <w:widowControl w:val="0"/>
        <w:numPr>
          <w:ilvl w:val="0"/>
          <w:numId w:val="11"/>
        </w:numPr>
        <w:autoSpaceDE w:val="0"/>
        <w:autoSpaceDN w:val="0"/>
        <w:adjustRightInd w:val="0"/>
        <w:spacing w:before="60" w:after="60"/>
        <w:ind w:left="0"/>
        <w:jc w:val="both"/>
        <w:rPr>
          <w:lang w:eastAsia="ar-MA" w:bidi="ar-MA"/>
        </w:rPr>
      </w:pPr>
      <w:r w:rsidRPr="00C756FD">
        <w:rPr>
          <w:b/>
          <w:bCs/>
          <w:lang w:eastAsia="ar-MA" w:bidi="ar-MA"/>
        </w:rPr>
        <w:t>Restaurants et hôtels</w:t>
      </w:r>
      <w:r w:rsidRPr="00C756FD">
        <w:rPr>
          <w:lang w:eastAsia="ar-MA" w:bidi="ar-MA"/>
        </w:rPr>
        <w:t xml:space="preserve"> : l’indice de cette division a </w:t>
      </w:r>
      <w:r w:rsidR="00FA3283">
        <w:rPr>
          <w:lang w:eastAsia="ar-MA" w:bidi="ar-MA"/>
        </w:rPr>
        <w:t>augmenté</w:t>
      </w:r>
      <w:r w:rsidRPr="00C756FD">
        <w:rPr>
          <w:lang w:eastAsia="ar-MA" w:bidi="ar-MA"/>
        </w:rPr>
        <w:t xml:space="preserve"> de </w:t>
      </w:r>
      <w:r w:rsidR="00FE42A6">
        <w:rPr>
          <w:lang w:eastAsia="ar-MA" w:bidi="ar-MA"/>
        </w:rPr>
        <w:t>6</w:t>
      </w:r>
      <w:r w:rsidRPr="00C756FD">
        <w:rPr>
          <w:lang w:eastAsia="ar-MA" w:bidi="ar-MA"/>
        </w:rPr>
        <w:t>,</w:t>
      </w:r>
      <w:r w:rsidR="00FE42A6">
        <w:rPr>
          <w:lang w:eastAsia="ar-MA" w:bidi="ar-MA"/>
        </w:rPr>
        <w:t>6</w:t>
      </w:r>
      <w:r w:rsidRPr="00C756FD">
        <w:rPr>
          <w:lang w:eastAsia="ar-MA" w:bidi="ar-MA"/>
        </w:rPr>
        <w:t>%</w:t>
      </w:r>
      <w:r w:rsidR="0031425E">
        <w:rPr>
          <w:lang w:eastAsia="ar-MA" w:bidi="ar-MA"/>
        </w:rPr>
        <w:t xml:space="preserve"> en </w:t>
      </w:r>
      <w:r w:rsidR="00FE42A6">
        <w:rPr>
          <w:lang w:eastAsia="ar-MA" w:bidi="ar-MA"/>
        </w:rPr>
        <w:t xml:space="preserve">2022 (contre </w:t>
      </w:r>
      <w:r w:rsidR="002C6F5A">
        <w:rPr>
          <w:lang w:eastAsia="ar-MA" w:bidi="ar-MA"/>
        </w:rPr>
        <w:t>+</w:t>
      </w:r>
      <w:r w:rsidR="00FE42A6">
        <w:rPr>
          <w:lang w:eastAsia="ar-MA" w:bidi="ar-MA"/>
        </w:rPr>
        <w:t>2,8% au niveau national)</w:t>
      </w:r>
      <w:r w:rsidRPr="00C756FD">
        <w:rPr>
          <w:lang w:eastAsia="ar-MA" w:bidi="ar-MA"/>
        </w:rPr>
        <w:t>. Cette variation est le rés</w:t>
      </w:r>
      <w:r w:rsidR="00CD7C4F">
        <w:rPr>
          <w:lang w:eastAsia="ar-MA" w:bidi="ar-MA"/>
        </w:rPr>
        <w:t>ultat de la hausse des prix des</w:t>
      </w:r>
      <w:r w:rsidR="00A41A68" w:rsidRPr="00C756FD">
        <w:rPr>
          <w:lang w:eastAsia="ar-MA" w:bidi="ar-MA"/>
        </w:rPr>
        <w:t>« Services</w:t>
      </w:r>
      <w:r w:rsidRPr="00C756FD">
        <w:rPr>
          <w:lang w:eastAsia="ar-MA" w:bidi="ar-MA"/>
        </w:rPr>
        <w:t xml:space="preserve"> de restauration » avec </w:t>
      </w:r>
      <w:r w:rsidR="00FE42A6">
        <w:rPr>
          <w:lang w:eastAsia="ar-MA" w:bidi="ar-MA"/>
        </w:rPr>
        <w:t>7</w:t>
      </w:r>
      <w:r w:rsidRPr="00C756FD">
        <w:rPr>
          <w:lang w:eastAsia="ar-MA" w:bidi="ar-MA"/>
        </w:rPr>
        <w:t>,</w:t>
      </w:r>
      <w:r w:rsidR="00FE42A6">
        <w:rPr>
          <w:lang w:eastAsia="ar-MA" w:bidi="ar-MA"/>
        </w:rPr>
        <w:t>5</w:t>
      </w:r>
      <w:r w:rsidR="0031425E">
        <w:rPr>
          <w:lang w:eastAsia="ar-MA" w:bidi="ar-MA"/>
        </w:rPr>
        <w:t>% et</w:t>
      </w:r>
      <w:r w:rsidR="00FE42A6">
        <w:rPr>
          <w:lang w:eastAsia="ar-MA" w:bidi="ar-MA"/>
        </w:rPr>
        <w:t xml:space="preserve">des prix </w:t>
      </w:r>
      <w:r w:rsidRPr="00C756FD">
        <w:rPr>
          <w:lang w:eastAsia="ar-MA" w:bidi="ar-MA"/>
        </w:rPr>
        <w:t xml:space="preserve">des « Services d’hébergement » </w:t>
      </w:r>
      <w:r w:rsidR="00FE42A6">
        <w:rPr>
          <w:lang w:eastAsia="ar-MA" w:bidi="ar-MA"/>
        </w:rPr>
        <w:t>1,1%</w:t>
      </w:r>
      <w:r w:rsidRPr="00C756FD">
        <w:rPr>
          <w:lang w:eastAsia="ar-MA" w:bidi="ar-MA"/>
        </w:rPr>
        <w:t xml:space="preserve"> ; </w:t>
      </w:r>
    </w:p>
    <w:p w:rsidR="00C756FD" w:rsidRPr="002A3E84" w:rsidRDefault="00C756FD" w:rsidP="00ED7277">
      <w:pPr>
        <w:pStyle w:val="Paragraphedeliste"/>
        <w:spacing w:line="240" w:lineRule="auto"/>
        <w:rPr>
          <w:sz w:val="16"/>
          <w:szCs w:val="16"/>
          <w:lang w:eastAsia="ar-MA" w:bidi="ar-MA"/>
        </w:rPr>
      </w:pPr>
    </w:p>
    <w:p w:rsidR="00C756FD" w:rsidRDefault="00C756FD" w:rsidP="001A3205">
      <w:pPr>
        <w:pStyle w:val="Paragraphedeliste"/>
        <w:widowControl w:val="0"/>
        <w:numPr>
          <w:ilvl w:val="0"/>
          <w:numId w:val="11"/>
        </w:numPr>
        <w:autoSpaceDE w:val="0"/>
        <w:autoSpaceDN w:val="0"/>
        <w:adjustRightInd w:val="0"/>
        <w:spacing w:before="60" w:after="60"/>
        <w:ind w:left="0"/>
        <w:jc w:val="both"/>
        <w:rPr>
          <w:lang w:eastAsia="ar-MA" w:bidi="ar-MA"/>
        </w:rPr>
      </w:pPr>
      <w:r w:rsidRPr="00C756FD">
        <w:rPr>
          <w:b/>
          <w:bCs/>
          <w:lang w:eastAsia="ar-MA" w:bidi="ar-MA"/>
        </w:rPr>
        <w:t>Biens et services divers</w:t>
      </w:r>
      <w:r w:rsidRPr="00C756FD">
        <w:rPr>
          <w:lang w:eastAsia="ar-MA" w:bidi="ar-MA"/>
        </w:rPr>
        <w:t xml:space="preserve"> : l’indice de cette division a connu une évolution de </w:t>
      </w:r>
      <w:r w:rsidR="00FE42A6">
        <w:rPr>
          <w:lang w:eastAsia="ar-MA" w:bidi="ar-MA"/>
        </w:rPr>
        <w:t>2</w:t>
      </w:r>
      <w:r w:rsidRPr="00C756FD">
        <w:rPr>
          <w:lang w:eastAsia="ar-MA" w:bidi="ar-MA"/>
        </w:rPr>
        <w:t>,</w:t>
      </w:r>
      <w:r w:rsidR="005F5F4F">
        <w:rPr>
          <w:lang w:eastAsia="ar-MA" w:bidi="ar-MA"/>
        </w:rPr>
        <w:t>6</w:t>
      </w:r>
      <w:r w:rsidRPr="00C756FD">
        <w:rPr>
          <w:lang w:eastAsia="ar-MA" w:bidi="ar-MA"/>
        </w:rPr>
        <w:t>%</w:t>
      </w:r>
      <w:r w:rsidR="00FE42A6">
        <w:rPr>
          <w:lang w:eastAsia="ar-MA" w:bidi="ar-MA"/>
        </w:rPr>
        <w:t xml:space="preserve"> (contre </w:t>
      </w:r>
      <w:r w:rsidR="002C6F5A">
        <w:rPr>
          <w:lang w:eastAsia="ar-MA" w:bidi="ar-MA"/>
        </w:rPr>
        <w:t>+</w:t>
      </w:r>
      <w:r w:rsidR="00FE42A6">
        <w:rPr>
          <w:lang w:eastAsia="ar-MA" w:bidi="ar-MA"/>
        </w:rPr>
        <w:t xml:space="preserve">3,4% au niveau national), </w:t>
      </w:r>
      <w:r w:rsidR="005F5F4F">
        <w:rPr>
          <w:lang w:eastAsia="ar-MA" w:bidi="ar-MA"/>
        </w:rPr>
        <w:t xml:space="preserve">due essentiellement </w:t>
      </w:r>
      <w:r w:rsidRPr="00C756FD">
        <w:rPr>
          <w:lang w:eastAsia="ar-MA" w:bidi="ar-MA"/>
        </w:rPr>
        <w:t>à l’augmentation d</w:t>
      </w:r>
      <w:r w:rsidR="00154D98">
        <w:rPr>
          <w:lang w:eastAsia="ar-MA" w:bidi="ar-MA"/>
        </w:rPr>
        <w:t>es prix des « Soins corporels »,</w:t>
      </w:r>
      <w:r w:rsidR="00874D59">
        <w:rPr>
          <w:lang w:eastAsia="ar-MA" w:bidi="ar-MA"/>
        </w:rPr>
        <w:t xml:space="preserve"> des « </w:t>
      </w:r>
      <w:r w:rsidR="00FE42A6">
        <w:t xml:space="preserve">Effets personnels non classés </w:t>
      </w:r>
      <w:r w:rsidR="002C6F5A">
        <w:t>ailleurs</w:t>
      </w:r>
      <w:r w:rsidR="002C6F5A">
        <w:rPr>
          <w:lang w:eastAsia="ar-MA" w:bidi="ar-MA"/>
        </w:rPr>
        <w:t xml:space="preserve"> »</w:t>
      </w:r>
      <w:r w:rsidR="00154D98">
        <w:rPr>
          <w:lang w:eastAsia="ar-MA" w:bidi="ar-MA"/>
        </w:rPr>
        <w:t xml:space="preserve"> et </w:t>
      </w:r>
      <w:r w:rsidR="002C6F5A">
        <w:rPr>
          <w:lang w:eastAsia="ar-MA" w:bidi="ar-MA"/>
        </w:rPr>
        <w:t>des «</w:t>
      </w:r>
      <w:r w:rsidR="00154D98" w:rsidRPr="00C756FD">
        <w:rPr>
          <w:lang w:eastAsia="ar-MA" w:bidi="ar-MA"/>
        </w:rPr>
        <w:t> Autres services »</w:t>
      </w:r>
      <w:r w:rsidR="00874D59">
        <w:rPr>
          <w:lang w:eastAsia="ar-MA" w:bidi="ar-MA"/>
        </w:rPr>
        <w:t xml:space="preserve">respectivement de </w:t>
      </w:r>
      <w:r w:rsidR="00154D98">
        <w:rPr>
          <w:lang w:eastAsia="ar-MA" w:bidi="ar-MA"/>
        </w:rPr>
        <w:t>2</w:t>
      </w:r>
      <w:r w:rsidRPr="00C756FD">
        <w:rPr>
          <w:lang w:eastAsia="ar-MA" w:bidi="ar-MA"/>
        </w:rPr>
        <w:t>,</w:t>
      </w:r>
      <w:r w:rsidR="00154D98">
        <w:rPr>
          <w:lang w:eastAsia="ar-MA" w:bidi="ar-MA"/>
        </w:rPr>
        <w:t>3% ;17</w:t>
      </w:r>
      <w:r w:rsidR="005F5F4F">
        <w:rPr>
          <w:lang w:eastAsia="ar-MA" w:bidi="ar-MA"/>
        </w:rPr>
        <w:t>,</w:t>
      </w:r>
      <w:r w:rsidR="00154D98">
        <w:rPr>
          <w:lang w:eastAsia="ar-MA" w:bidi="ar-MA"/>
        </w:rPr>
        <w:t>5</w:t>
      </w:r>
      <w:r w:rsidR="00874D59">
        <w:rPr>
          <w:lang w:eastAsia="ar-MA" w:bidi="ar-MA"/>
        </w:rPr>
        <w:t>% </w:t>
      </w:r>
      <w:r w:rsidR="00154D98">
        <w:rPr>
          <w:lang w:eastAsia="ar-MA" w:bidi="ar-MA"/>
        </w:rPr>
        <w:t>et 4,4</w:t>
      </w:r>
      <w:r w:rsidR="002C6F5A">
        <w:rPr>
          <w:lang w:eastAsia="ar-MA" w:bidi="ar-MA"/>
        </w:rPr>
        <w:t>% et</w:t>
      </w:r>
      <w:r w:rsidRPr="00C756FD">
        <w:rPr>
          <w:lang w:eastAsia="ar-MA" w:bidi="ar-MA"/>
        </w:rPr>
        <w:t xml:space="preserve"> à la stagnation des autres types des biens et services divers notamment l</w:t>
      </w:r>
      <w:r w:rsidR="00154D98">
        <w:rPr>
          <w:lang w:eastAsia="ar-MA" w:bidi="ar-MA"/>
        </w:rPr>
        <w:t xml:space="preserve">es </w:t>
      </w:r>
      <w:r w:rsidRPr="00C756FD">
        <w:rPr>
          <w:lang w:eastAsia="ar-MA" w:bidi="ar-MA"/>
        </w:rPr>
        <w:t>« </w:t>
      </w:r>
      <w:r w:rsidR="005F5F4F">
        <w:rPr>
          <w:lang w:eastAsia="ar-MA" w:bidi="ar-MA"/>
        </w:rPr>
        <w:t>Assurances</w:t>
      </w:r>
      <w:r w:rsidR="00154D98">
        <w:rPr>
          <w:lang w:eastAsia="ar-MA" w:bidi="ar-MA"/>
        </w:rPr>
        <w:t> »</w:t>
      </w:r>
      <w:r w:rsidR="001A3205">
        <w:rPr>
          <w:lang w:eastAsia="ar-MA" w:bidi="ar-MA"/>
        </w:rPr>
        <w:t>et les « Services financiers »</w:t>
      </w:r>
      <w:r w:rsidRPr="00C756FD">
        <w:rPr>
          <w:lang w:eastAsia="ar-MA" w:bidi="ar-MA"/>
        </w:rPr>
        <w:t xml:space="preserve">.     </w:t>
      </w:r>
    </w:p>
    <w:p w:rsidR="00452B7D" w:rsidRDefault="00452B7D" w:rsidP="00452B7D">
      <w:pPr>
        <w:pStyle w:val="Titre2"/>
        <w:spacing w:line="240" w:lineRule="auto"/>
        <w:ind w:left="360"/>
        <w:rPr>
          <w:rFonts w:asciiTheme="minorHAnsi" w:hAnsiTheme="minorHAnsi"/>
          <w:color w:val="E36C0A" w:themeColor="accent6" w:themeShade="BF"/>
        </w:rPr>
      </w:pPr>
    </w:p>
    <w:p w:rsidR="00E30440" w:rsidRPr="00A87EFE" w:rsidRDefault="00E30440" w:rsidP="0023574D">
      <w:pPr>
        <w:pStyle w:val="Titre2"/>
        <w:numPr>
          <w:ilvl w:val="0"/>
          <w:numId w:val="10"/>
        </w:numPr>
        <w:spacing w:line="240" w:lineRule="auto"/>
        <w:rPr>
          <w:rFonts w:asciiTheme="minorHAnsi" w:hAnsiTheme="minorHAnsi"/>
          <w:color w:val="E36C0A" w:themeColor="accent6" w:themeShade="BF"/>
        </w:rPr>
      </w:pPr>
      <w:bookmarkStart w:id="16" w:name="_Toc183085618"/>
      <w:r w:rsidRPr="00A87EFE">
        <w:rPr>
          <w:rFonts w:asciiTheme="minorHAnsi" w:hAnsiTheme="minorHAnsi"/>
          <w:color w:val="E36C0A" w:themeColor="accent6" w:themeShade="BF"/>
        </w:rPr>
        <w:t xml:space="preserve">Evolution </w:t>
      </w:r>
      <w:r>
        <w:rPr>
          <w:rFonts w:asciiTheme="minorHAnsi" w:hAnsiTheme="minorHAnsi"/>
          <w:color w:val="E36C0A" w:themeColor="accent6" w:themeShade="BF"/>
        </w:rPr>
        <w:t>annuelle</w:t>
      </w:r>
      <w:r w:rsidRPr="00A87EFE">
        <w:rPr>
          <w:rFonts w:asciiTheme="minorHAnsi" w:hAnsiTheme="minorHAnsi"/>
          <w:color w:val="E36C0A" w:themeColor="accent6" w:themeShade="BF"/>
        </w:rPr>
        <w:t xml:space="preserve"> de</w:t>
      </w:r>
      <w:r w:rsidR="00B94824">
        <w:rPr>
          <w:rFonts w:asciiTheme="minorHAnsi" w:hAnsiTheme="minorHAnsi"/>
          <w:color w:val="E36C0A" w:themeColor="accent6" w:themeShade="BF"/>
        </w:rPr>
        <w:t xml:space="preserve"> l’</w:t>
      </w:r>
      <w:r w:rsidRPr="00A87EFE">
        <w:rPr>
          <w:rFonts w:asciiTheme="minorHAnsi" w:hAnsiTheme="minorHAnsi"/>
          <w:color w:val="E36C0A" w:themeColor="accent6" w:themeShade="BF"/>
        </w:rPr>
        <w:t>indice</w:t>
      </w:r>
      <w:r>
        <w:rPr>
          <w:rFonts w:asciiTheme="minorHAnsi" w:hAnsiTheme="minorHAnsi"/>
          <w:color w:val="E36C0A" w:themeColor="accent6" w:themeShade="BF"/>
        </w:rPr>
        <w:t xml:space="preserve"> par ville</w:t>
      </w:r>
      <w:r w:rsidR="005E68F6">
        <w:rPr>
          <w:rFonts w:asciiTheme="minorHAnsi" w:hAnsiTheme="minorHAnsi"/>
          <w:color w:val="E36C0A" w:themeColor="accent6" w:themeShade="BF"/>
        </w:rPr>
        <w:t>s</w:t>
      </w:r>
      <w:r>
        <w:rPr>
          <w:rFonts w:asciiTheme="minorHAnsi" w:hAnsiTheme="minorHAnsi"/>
          <w:color w:val="E36C0A" w:themeColor="accent6" w:themeShade="BF"/>
        </w:rPr>
        <w:t xml:space="preserve">entre </w:t>
      </w:r>
      <w:r w:rsidR="0023574D">
        <w:rPr>
          <w:rFonts w:asciiTheme="minorHAnsi" w:hAnsiTheme="minorHAnsi"/>
          <w:color w:val="E36C0A" w:themeColor="accent6" w:themeShade="BF"/>
        </w:rPr>
        <w:t>2021</w:t>
      </w:r>
      <w:r>
        <w:rPr>
          <w:rFonts w:asciiTheme="minorHAnsi" w:hAnsiTheme="minorHAnsi"/>
          <w:color w:val="E36C0A" w:themeColor="accent6" w:themeShade="BF"/>
        </w:rPr>
        <w:t xml:space="preserve"> et</w:t>
      </w:r>
      <w:r w:rsidR="0023574D">
        <w:rPr>
          <w:rFonts w:asciiTheme="minorHAnsi" w:hAnsiTheme="minorHAnsi"/>
          <w:color w:val="E36C0A" w:themeColor="accent6" w:themeShade="BF"/>
        </w:rPr>
        <w:t>2022</w:t>
      </w:r>
      <w:bookmarkEnd w:id="16"/>
    </w:p>
    <w:p w:rsidR="00FE170A" w:rsidRDefault="00E30440" w:rsidP="00C1771F">
      <w:pPr>
        <w:spacing w:before="240" w:after="240"/>
        <w:ind w:left="-567" w:firstLine="708"/>
        <w:jc w:val="both"/>
        <w:rPr>
          <w:rFonts w:cstheme="majorBidi"/>
        </w:rPr>
      </w:pPr>
      <w:r w:rsidRPr="00E30440">
        <w:rPr>
          <w:rFonts w:cstheme="majorBidi"/>
        </w:rPr>
        <w:t xml:space="preserve">Au terme de l’année </w:t>
      </w:r>
      <w:r w:rsidR="0023574D">
        <w:rPr>
          <w:rFonts w:cstheme="majorBidi"/>
        </w:rPr>
        <w:t>2022</w:t>
      </w:r>
      <w:r w:rsidRPr="00E30440">
        <w:rPr>
          <w:rFonts w:cstheme="majorBidi"/>
        </w:rPr>
        <w:t>, la comparaison de l’indice général par ville</w:t>
      </w:r>
      <w:r w:rsidR="00753F89">
        <w:rPr>
          <w:rFonts w:cstheme="majorBidi"/>
        </w:rPr>
        <w:t>s</w:t>
      </w:r>
      <w:r w:rsidRPr="00E30440">
        <w:rPr>
          <w:rFonts w:cstheme="majorBidi"/>
        </w:rPr>
        <w:t xml:space="preserve"> montre que le coût de la vie à Rabat se situe </w:t>
      </w:r>
      <w:r w:rsidR="00FE170A">
        <w:rPr>
          <w:rFonts w:cstheme="majorBidi"/>
        </w:rPr>
        <w:t>en dessous de</w:t>
      </w:r>
      <w:r w:rsidR="00626950">
        <w:rPr>
          <w:rFonts w:cstheme="majorBidi"/>
        </w:rPr>
        <w:t xml:space="preserve"> la moye</w:t>
      </w:r>
      <w:r w:rsidRPr="00E30440">
        <w:rPr>
          <w:rFonts w:cstheme="majorBidi"/>
        </w:rPr>
        <w:t>nne nationale</w:t>
      </w:r>
      <w:r w:rsidR="00490AEF">
        <w:rPr>
          <w:rFonts w:cstheme="majorBidi"/>
        </w:rPr>
        <w:t xml:space="preserve">. Aussi, La ville </w:t>
      </w:r>
      <w:r w:rsidR="009F2082">
        <w:rPr>
          <w:rFonts w:cstheme="majorBidi"/>
        </w:rPr>
        <w:t>de Rabat reste</w:t>
      </w:r>
      <w:r w:rsidRPr="00E30440">
        <w:rPr>
          <w:rFonts w:cstheme="majorBidi"/>
        </w:rPr>
        <w:t xml:space="preserve"> moins cher </w:t>
      </w:r>
      <w:r w:rsidR="009F2082">
        <w:rPr>
          <w:rFonts w:cstheme="majorBidi"/>
        </w:rPr>
        <w:t>que</w:t>
      </w:r>
      <w:r w:rsidR="0023574D">
        <w:rPr>
          <w:rFonts w:cstheme="majorBidi"/>
        </w:rPr>
        <w:t>douze</w:t>
      </w:r>
      <w:r w:rsidRPr="00E30440">
        <w:rPr>
          <w:rFonts w:cstheme="majorBidi"/>
        </w:rPr>
        <w:t xml:space="preserve"> villes </w:t>
      </w:r>
      <w:r w:rsidR="009F2082">
        <w:rPr>
          <w:rFonts w:cstheme="majorBidi"/>
        </w:rPr>
        <w:t xml:space="preserve">du Royaume </w:t>
      </w:r>
      <w:r w:rsidR="00712B79">
        <w:rPr>
          <w:rFonts w:cstheme="majorBidi"/>
        </w:rPr>
        <w:t>à savoir :</w:t>
      </w:r>
      <w:r w:rsidR="00FE170A">
        <w:rPr>
          <w:rFonts w:cstheme="majorBidi"/>
        </w:rPr>
        <w:t xml:space="preserve">Casablanca, </w:t>
      </w:r>
      <w:r w:rsidR="00C1771F" w:rsidRPr="00E30440">
        <w:rPr>
          <w:rFonts w:cstheme="majorBidi"/>
        </w:rPr>
        <w:t>Fès</w:t>
      </w:r>
      <w:r w:rsidR="00C1771F">
        <w:rPr>
          <w:rFonts w:cstheme="majorBidi"/>
        </w:rPr>
        <w:t>, Kénitra,</w:t>
      </w:r>
      <w:r w:rsidR="00FE170A" w:rsidRPr="00E30440">
        <w:rPr>
          <w:rFonts w:cstheme="majorBidi"/>
        </w:rPr>
        <w:t>M</w:t>
      </w:r>
      <w:r w:rsidR="00FE170A">
        <w:rPr>
          <w:rFonts w:cstheme="majorBidi"/>
        </w:rPr>
        <w:t>arrakech,</w:t>
      </w:r>
      <w:r w:rsidR="00FE170A" w:rsidRPr="00E30440">
        <w:rPr>
          <w:rFonts w:cstheme="majorBidi"/>
        </w:rPr>
        <w:t>Meknès</w:t>
      </w:r>
      <w:r w:rsidR="00FE170A">
        <w:rPr>
          <w:rFonts w:cstheme="majorBidi"/>
        </w:rPr>
        <w:t xml:space="preserve">, </w:t>
      </w:r>
      <w:r w:rsidR="00C1771F">
        <w:rPr>
          <w:rFonts w:cstheme="majorBidi"/>
        </w:rPr>
        <w:t xml:space="preserve">Tanger, </w:t>
      </w:r>
      <w:r w:rsidR="00C1771F" w:rsidRPr="00E30440">
        <w:rPr>
          <w:rFonts w:cstheme="majorBidi"/>
        </w:rPr>
        <w:t>Guelmim</w:t>
      </w:r>
      <w:r w:rsidR="00C1771F">
        <w:rPr>
          <w:rFonts w:cstheme="majorBidi"/>
        </w:rPr>
        <w:t xml:space="preserve">, </w:t>
      </w:r>
      <w:r w:rsidR="00FE170A">
        <w:rPr>
          <w:rFonts w:cstheme="majorBidi"/>
        </w:rPr>
        <w:t xml:space="preserve">Settat, </w:t>
      </w:r>
      <w:r w:rsidR="00FE170A" w:rsidRPr="00E30440">
        <w:rPr>
          <w:rFonts w:cstheme="majorBidi"/>
        </w:rPr>
        <w:t>Safi</w:t>
      </w:r>
      <w:r w:rsidR="00FE170A">
        <w:rPr>
          <w:rFonts w:cstheme="majorBidi"/>
        </w:rPr>
        <w:t>,</w:t>
      </w:r>
      <w:r w:rsidR="00C1771F">
        <w:rPr>
          <w:rFonts w:cstheme="majorBidi"/>
        </w:rPr>
        <w:t xml:space="preserve"> Beni mellal, El Houceima</w:t>
      </w:r>
      <w:r w:rsidR="00FE170A">
        <w:rPr>
          <w:rFonts w:cstheme="majorBidi"/>
        </w:rPr>
        <w:t xml:space="preserve">et Errachidia, et plus </w:t>
      </w:r>
      <w:r w:rsidR="00FE170A" w:rsidRPr="00E30440">
        <w:rPr>
          <w:rFonts w:cstheme="majorBidi"/>
        </w:rPr>
        <w:t>cher en comparaison avecAgadir</w:t>
      </w:r>
      <w:r w:rsidR="00C1771F">
        <w:rPr>
          <w:rFonts w:cstheme="majorBidi"/>
        </w:rPr>
        <w:t xml:space="preserve">, Oujda, Tetouan et </w:t>
      </w:r>
      <w:r w:rsidR="00FE170A" w:rsidRPr="00E30440">
        <w:rPr>
          <w:rFonts w:cstheme="majorBidi"/>
        </w:rPr>
        <w:t>Dakhla</w:t>
      </w:r>
      <w:r w:rsidR="00FE170A">
        <w:rPr>
          <w:rFonts w:cstheme="majorBidi"/>
        </w:rPr>
        <w:t>.</w:t>
      </w:r>
    </w:p>
    <w:p w:rsidR="00E30440" w:rsidRPr="008D5274" w:rsidRDefault="00E30440" w:rsidP="00222A82">
      <w:pPr>
        <w:spacing w:before="240" w:after="240"/>
        <w:ind w:left="-567" w:firstLine="708"/>
        <w:jc w:val="both"/>
        <w:rPr>
          <w:rFonts w:cstheme="majorBidi"/>
        </w:rPr>
      </w:pPr>
      <w:r w:rsidRPr="008D5274">
        <w:rPr>
          <w:rFonts w:cstheme="majorBidi"/>
        </w:rPr>
        <w:t xml:space="preserve">On note aussi que le niveau général des prix le plus élevé au Maroc en </w:t>
      </w:r>
      <w:r w:rsidR="00435370">
        <w:rPr>
          <w:rFonts w:cstheme="majorBidi"/>
        </w:rPr>
        <w:t>2022</w:t>
      </w:r>
      <w:r w:rsidRPr="008D5274">
        <w:rPr>
          <w:rFonts w:cstheme="majorBidi"/>
        </w:rPr>
        <w:t xml:space="preserve">, est celui enregistré par la ville de </w:t>
      </w:r>
      <w:r w:rsidR="008D5274">
        <w:rPr>
          <w:rFonts w:cstheme="majorBidi"/>
        </w:rPr>
        <w:t xml:space="preserve">Safi </w:t>
      </w:r>
      <w:r w:rsidRPr="008D5274">
        <w:rPr>
          <w:rFonts w:cstheme="majorBidi"/>
        </w:rPr>
        <w:t xml:space="preserve">qui a dépassé la moyenne nationale de </w:t>
      </w:r>
      <w:r w:rsidR="00A12AFA">
        <w:rPr>
          <w:rFonts w:cstheme="majorBidi"/>
        </w:rPr>
        <w:t>3</w:t>
      </w:r>
      <w:r w:rsidRPr="008D5274">
        <w:rPr>
          <w:rFonts w:cstheme="majorBidi"/>
        </w:rPr>
        <w:t>,</w:t>
      </w:r>
      <w:r w:rsidR="00A12AFA">
        <w:rPr>
          <w:rFonts w:cstheme="majorBidi"/>
        </w:rPr>
        <w:t>2</w:t>
      </w:r>
      <w:r w:rsidRPr="008D5274">
        <w:rPr>
          <w:rFonts w:cstheme="majorBidi"/>
        </w:rPr>
        <w:t xml:space="preserve"> points suivie par les villes de </w:t>
      </w:r>
      <w:r w:rsidR="00222A82">
        <w:rPr>
          <w:rFonts w:cstheme="majorBidi"/>
        </w:rPr>
        <w:t>Beni mellal, El Houceima,</w:t>
      </w:r>
      <w:r w:rsidR="00222A82" w:rsidRPr="008D5274">
        <w:rPr>
          <w:rFonts w:cstheme="majorBidi"/>
        </w:rPr>
        <w:t>Guelmim</w:t>
      </w:r>
      <w:r w:rsidR="00222A82">
        <w:rPr>
          <w:rFonts w:cstheme="majorBidi"/>
        </w:rPr>
        <w:t xml:space="preserve">, Marrakech, </w:t>
      </w:r>
      <w:r w:rsidR="008D5274">
        <w:rPr>
          <w:rFonts w:cstheme="majorBidi"/>
        </w:rPr>
        <w:t xml:space="preserve">Casablanca, </w:t>
      </w:r>
      <w:r w:rsidR="008D5274" w:rsidRPr="008D5274">
        <w:rPr>
          <w:rFonts w:cstheme="majorBidi"/>
        </w:rPr>
        <w:t>Fès</w:t>
      </w:r>
      <w:r w:rsidR="008D5274">
        <w:rPr>
          <w:rFonts w:cstheme="majorBidi"/>
        </w:rPr>
        <w:t xml:space="preserve"> et </w:t>
      </w:r>
      <w:r w:rsidR="00222A82">
        <w:rPr>
          <w:rFonts w:cstheme="majorBidi"/>
        </w:rPr>
        <w:t>Kenitra</w:t>
      </w:r>
      <w:r w:rsidR="00CD0C46" w:rsidRPr="008D5274">
        <w:rPr>
          <w:rFonts w:cstheme="majorBidi"/>
        </w:rPr>
        <w:t>a</w:t>
      </w:r>
      <w:r w:rsidRPr="008D5274">
        <w:rPr>
          <w:rFonts w:cstheme="majorBidi"/>
        </w:rPr>
        <w:t xml:space="preserve">vec des écarts allant de </w:t>
      </w:r>
      <w:r w:rsidR="007118BD" w:rsidRPr="008D5274">
        <w:rPr>
          <w:rFonts w:cstheme="majorBidi"/>
        </w:rPr>
        <w:t>0</w:t>
      </w:r>
      <w:r w:rsidRPr="008D5274">
        <w:rPr>
          <w:rFonts w:cstheme="majorBidi"/>
        </w:rPr>
        <w:t>,</w:t>
      </w:r>
      <w:r w:rsidR="00222A82">
        <w:rPr>
          <w:rFonts w:cstheme="majorBidi"/>
        </w:rPr>
        <w:t>3</w:t>
      </w:r>
      <w:r w:rsidRPr="008D5274">
        <w:rPr>
          <w:rFonts w:cstheme="majorBidi"/>
        </w:rPr>
        <w:t xml:space="preserve"> à </w:t>
      </w:r>
      <w:r w:rsidR="007118BD" w:rsidRPr="008D5274">
        <w:rPr>
          <w:rFonts w:cstheme="majorBidi"/>
        </w:rPr>
        <w:t>2</w:t>
      </w:r>
      <w:r w:rsidRPr="008D5274">
        <w:rPr>
          <w:rFonts w:cstheme="majorBidi"/>
        </w:rPr>
        <w:t>,</w:t>
      </w:r>
      <w:r w:rsidR="00222A82">
        <w:rPr>
          <w:rFonts w:cstheme="majorBidi"/>
        </w:rPr>
        <w:t>1</w:t>
      </w:r>
      <w:r w:rsidR="0023574D">
        <w:rPr>
          <w:rFonts w:cstheme="majorBidi"/>
        </w:rPr>
        <w:t xml:space="preserve"> points (f</w:t>
      </w:r>
      <w:r w:rsidRPr="008D5274">
        <w:rPr>
          <w:rFonts w:cstheme="majorBidi"/>
        </w:rPr>
        <w:t xml:space="preserve">igure </w:t>
      </w:r>
      <w:r w:rsidR="0023574D">
        <w:rPr>
          <w:rFonts w:cstheme="majorBidi"/>
        </w:rPr>
        <w:t>5</w:t>
      </w:r>
      <w:r w:rsidRPr="008D5274">
        <w:rPr>
          <w:rFonts w:cstheme="majorBidi"/>
        </w:rPr>
        <w:t>).</w:t>
      </w:r>
    </w:p>
    <w:p w:rsidR="0060034A" w:rsidRDefault="0060034A" w:rsidP="0060034A">
      <w:pPr>
        <w:rPr>
          <w:sz w:val="16"/>
          <w:szCs w:val="16"/>
        </w:rPr>
      </w:pPr>
    </w:p>
    <w:p w:rsidR="00D44902" w:rsidRDefault="00D44902" w:rsidP="0060034A">
      <w:pPr>
        <w:rPr>
          <w:sz w:val="16"/>
          <w:szCs w:val="16"/>
        </w:rPr>
      </w:pPr>
    </w:p>
    <w:p w:rsidR="00D44902" w:rsidRDefault="00D44902" w:rsidP="0060034A">
      <w:pPr>
        <w:rPr>
          <w:sz w:val="16"/>
          <w:szCs w:val="16"/>
        </w:rPr>
      </w:pPr>
    </w:p>
    <w:p w:rsidR="00D44902" w:rsidRDefault="00D44902" w:rsidP="0060034A">
      <w:pPr>
        <w:rPr>
          <w:sz w:val="16"/>
          <w:szCs w:val="16"/>
        </w:rPr>
      </w:pPr>
    </w:p>
    <w:p w:rsidR="00D44902" w:rsidRDefault="00D44902" w:rsidP="0060034A">
      <w:pPr>
        <w:rPr>
          <w:sz w:val="16"/>
          <w:szCs w:val="16"/>
        </w:rPr>
      </w:pPr>
    </w:p>
    <w:p w:rsidR="00D44902" w:rsidRPr="0060034A" w:rsidRDefault="00D44902" w:rsidP="0060034A">
      <w:pPr>
        <w:rPr>
          <w:sz w:val="16"/>
          <w:szCs w:val="16"/>
        </w:rPr>
      </w:pPr>
    </w:p>
    <w:p w:rsidR="00E30440" w:rsidRDefault="00E30440" w:rsidP="00DE760F">
      <w:pPr>
        <w:jc w:val="center"/>
      </w:pPr>
      <w:r w:rsidRPr="00D029C6">
        <w:rPr>
          <w:noProof/>
          <w:shd w:val="clear" w:color="auto" w:fill="00B050"/>
        </w:rPr>
        <w:drawing>
          <wp:inline distT="0" distB="0" distL="0" distR="0">
            <wp:extent cx="5888990" cy="3450772"/>
            <wp:effectExtent l="0" t="0" r="16510" b="16510"/>
            <wp:docPr id="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34EE" w:rsidRPr="00452B7D" w:rsidRDefault="003034EE" w:rsidP="003D3916">
      <w:pPr>
        <w:pStyle w:val="Paragraphedeliste"/>
        <w:widowControl w:val="0"/>
        <w:autoSpaceDE w:val="0"/>
        <w:autoSpaceDN w:val="0"/>
        <w:adjustRightInd w:val="0"/>
        <w:spacing w:before="120" w:after="120" w:line="240" w:lineRule="auto"/>
        <w:ind w:left="851"/>
        <w:jc w:val="center"/>
        <w:rPr>
          <w:rFonts w:asciiTheme="majorBidi" w:hAnsiTheme="majorBidi" w:cstheme="majorBidi"/>
          <w:b/>
          <w:bCs/>
          <w:sz w:val="16"/>
          <w:szCs w:val="16"/>
        </w:rPr>
      </w:pPr>
      <w:r w:rsidRPr="00452B7D">
        <w:rPr>
          <w:rFonts w:asciiTheme="majorBidi" w:hAnsiTheme="majorBidi" w:cstheme="majorBidi"/>
          <w:b/>
          <w:bCs/>
          <w:sz w:val="16"/>
          <w:szCs w:val="16"/>
        </w:rPr>
        <w:t>Source : HCP</w:t>
      </w:r>
    </w:p>
    <w:p w:rsidR="002A3E84" w:rsidRDefault="002A3E84" w:rsidP="002A3E84">
      <w:pPr>
        <w:ind w:left="-567" w:firstLine="567"/>
        <w:jc w:val="both"/>
        <w:rPr>
          <w:rFonts w:cstheme="majorBidi"/>
          <w:sz w:val="10"/>
          <w:szCs w:val="10"/>
        </w:rPr>
      </w:pPr>
    </w:p>
    <w:p w:rsidR="0093381E" w:rsidRPr="003034EE" w:rsidRDefault="0093381E" w:rsidP="002A3E84">
      <w:pPr>
        <w:ind w:left="-567" w:firstLine="567"/>
        <w:jc w:val="both"/>
        <w:rPr>
          <w:rFonts w:cstheme="majorBidi"/>
          <w:sz w:val="10"/>
          <w:szCs w:val="10"/>
        </w:rPr>
      </w:pPr>
    </w:p>
    <w:p w:rsidR="004C0469" w:rsidRDefault="0093381E" w:rsidP="003167AA">
      <w:pPr>
        <w:ind w:left="-567" w:firstLine="567"/>
        <w:jc w:val="both"/>
      </w:pPr>
      <w:r>
        <w:t xml:space="preserve">La majorité des villes a connu des taux d’inflation supérieurs au niveau national avec des écarts positifs allant de 0,1 enregistré à Tanger à 1,8 point enregistré à Al Hoceima, tandis que cinq villes ont connu un déficit relatif allant de 1,3 enregistré à Agadir </w:t>
      </w:r>
      <w:r w:rsidR="003167AA">
        <w:t xml:space="preserve">et Dakhla </w:t>
      </w:r>
      <w:r>
        <w:t xml:space="preserve">à </w:t>
      </w:r>
      <w:r w:rsidR="003167AA">
        <w:t xml:space="preserve">0,1% </w:t>
      </w:r>
      <w:r>
        <w:t xml:space="preserve"> enregistré à Casablanca (figure 6).</w:t>
      </w:r>
    </w:p>
    <w:p w:rsidR="0093381E" w:rsidRPr="0098160A" w:rsidRDefault="0093381E" w:rsidP="0093381E">
      <w:pPr>
        <w:ind w:left="-567" w:firstLine="567"/>
        <w:jc w:val="both"/>
        <w:rPr>
          <w:rFonts w:cstheme="majorBidi"/>
          <w:sz w:val="10"/>
          <w:szCs w:val="10"/>
        </w:rPr>
      </w:pPr>
    </w:p>
    <w:p w:rsidR="008758C2" w:rsidRDefault="0098160A" w:rsidP="0098160A">
      <w:pPr>
        <w:spacing w:line="360" w:lineRule="auto"/>
        <w:jc w:val="center"/>
        <w:rPr>
          <w:rFonts w:cstheme="majorBidi"/>
        </w:rPr>
      </w:pPr>
      <w:r w:rsidRPr="00BB2557">
        <w:rPr>
          <w:noProof/>
        </w:rPr>
        <w:drawing>
          <wp:inline distT="0" distB="0" distL="0" distR="0">
            <wp:extent cx="5747657" cy="3217545"/>
            <wp:effectExtent l="0" t="0" r="5715" b="1905"/>
            <wp:docPr id="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0469" w:rsidRDefault="004C0469" w:rsidP="004C0469">
      <w:pPr>
        <w:spacing w:line="360" w:lineRule="auto"/>
        <w:jc w:val="center"/>
        <w:rPr>
          <w:rFonts w:asciiTheme="majorBidi" w:hAnsiTheme="majorBidi" w:cstheme="majorBidi"/>
          <w:b/>
          <w:bCs/>
          <w:sz w:val="16"/>
          <w:szCs w:val="16"/>
        </w:rPr>
      </w:pPr>
      <w:r w:rsidRPr="00452B7D">
        <w:rPr>
          <w:rFonts w:asciiTheme="majorBidi" w:hAnsiTheme="majorBidi" w:cstheme="majorBidi"/>
          <w:b/>
          <w:bCs/>
          <w:sz w:val="16"/>
          <w:szCs w:val="16"/>
        </w:rPr>
        <w:t>Source : HCP</w:t>
      </w:r>
    </w:p>
    <w:p w:rsidR="00611E2B" w:rsidRDefault="00611E2B" w:rsidP="004C0469">
      <w:pPr>
        <w:spacing w:line="360" w:lineRule="auto"/>
        <w:jc w:val="center"/>
        <w:rPr>
          <w:rFonts w:asciiTheme="majorBidi" w:hAnsiTheme="majorBidi" w:cstheme="majorBidi"/>
          <w:b/>
          <w:bCs/>
          <w:sz w:val="16"/>
          <w:szCs w:val="16"/>
        </w:rPr>
      </w:pPr>
    </w:p>
    <w:p w:rsidR="00611E2B" w:rsidRDefault="00611E2B" w:rsidP="004C0469">
      <w:pPr>
        <w:spacing w:line="360" w:lineRule="auto"/>
        <w:jc w:val="center"/>
        <w:rPr>
          <w:rFonts w:asciiTheme="majorBidi" w:hAnsiTheme="majorBidi" w:cstheme="majorBidi"/>
          <w:b/>
          <w:bCs/>
          <w:sz w:val="16"/>
          <w:szCs w:val="16"/>
        </w:rPr>
      </w:pPr>
    </w:p>
    <w:p w:rsidR="00611E2B" w:rsidRDefault="00611E2B" w:rsidP="004C0469">
      <w:pPr>
        <w:spacing w:line="360" w:lineRule="auto"/>
        <w:jc w:val="center"/>
        <w:rPr>
          <w:rFonts w:cstheme="majorBidi"/>
        </w:rPr>
      </w:pPr>
    </w:p>
    <w:p w:rsidR="004B315E" w:rsidRPr="00A87EFE" w:rsidRDefault="004B315E" w:rsidP="003170AB">
      <w:pPr>
        <w:pStyle w:val="TitreI"/>
        <w:numPr>
          <w:ilvl w:val="0"/>
          <w:numId w:val="4"/>
        </w:numPr>
        <w:rPr>
          <w:rFonts w:asciiTheme="minorHAnsi" w:hAnsiTheme="minorHAnsi"/>
          <w:color w:val="984806" w:themeColor="accent6" w:themeShade="80"/>
        </w:rPr>
      </w:pPr>
      <w:bookmarkStart w:id="17" w:name="_Toc183085619"/>
      <w:r>
        <w:rPr>
          <w:rFonts w:asciiTheme="minorHAnsi" w:hAnsiTheme="minorHAnsi"/>
          <w:color w:val="984806" w:themeColor="accent6" w:themeShade="80"/>
        </w:rPr>
        <w:t>Conclusion</w:t>
      </w:r>
      <w:bookmarkEnd w:id="17"/>
    </w:p>
    <w:p w:rsidR="004B315E" w:rsidRPr="00D454A9" w:rsidRDefault="004B315E" w:rsidP="00D454A9">
      <w:pPr>
        <w:spacing w:line="240" w:lineRule="auto"/>
        <w:ind w:firstLine="360"/>
        <w:jc w:val="both"/>
        <w:rPr>
          <w:sz w:val="10"/>
          <w:szCs w:val="10"/>
        </w:rPr>
      </w:pPr>
    </w:p>
    <w:p w:rsidR="004B315E" w:rsidRPr="004B315E" w:rsidRDefault="000F5A54" w:rsidP="000F5A54">
      <w:pPr>
        <w:ind w:left="-567" w:firstLine="360"/>
        <w:jc w:val="both"/>
      </w:pPr>
      <w:r>
        <w:t>En résumé</w:t>
      </w:r>
      <w:r w:rsidRPr="004B315E">
        <w:t>,</w:t>
      </w:r>
      <w:r>
        <w:t xml:space="preserve"> a</w:t>
      </w:r>
      <w:r w:rsidR="004B315E" w:rsidRPr="004B315E">
        <w:t>u cour</w:t>
      </w:r>
      <w:r w:rsidR="005E68F6">
        <w:t xml:space="preserve">s </w:t>
      </w:r>
      <w:r w:rsidR="004B315E" w:rsidRPr="004B315E">
        <w:t xml:space="preserve">de l’année </w:t>
      </w:r>
      <w:r w:rsidR="000A788B">
        <w:t>2022</w:t>
      </w:r>
      <w:r w:rsidR="004B315E" w:rsidRPr="004B315E">
        <w:t xml:space="preserve">, l’indice </w:t>
      </w:r>
      <w:r>
        <w:t xml:space="preserve">annuel moyen </w:t>
      </w:r>
      <w:r w:rsidR="004B315E" w:rsidRPr="004B315E">
        <w:t>de l</w:t>
      </w:r>
      <w:r w:rsidR="00D454A9">
        <w:t xml:space="preserve">a ville de Rabat a évolué de </w:t>
      </w:r>
      <w:r>
        <w:t>6,6</w:t>
      </w:r>
      <w:r w:rsidR="004B315E" w:rsidRPr="004B315E">
        <w:t xml:space="preserve"> %</w:t>
      </w:r>
      <w:r>
        <w:t xml:space="preserve"> par rapport à 2021,</w:t>
      </w:r>
      <w:r w:rsidR="004B315E" w:rsidRPr="004B315E">
        <w:t xml:space="preserve"> soit un niveau plus </w:t>
      </w:r>
      <w:r w:rsidR="00FE18BE">
        <w:t>bas</w:t>
      </w:r>
      <w:r w:rsidR="004B315E" w:rsidRPr="004B315E">
        <w:t xml:space="preserve"> que celui enregistré au niveau national </w:t>
      </w:r>
      <w:r>
        <w:t>6,6</w:t>
      </w:r>
      <w:r w:rsidR="004B315E" w:rsidRPr="004B315E">
        <w:t>%.</w:t>
      </w:r>
    </w:p>
    <w:p w:rsidR="004B315E" w:rsidRPr="004B315E" w:rsidRDefault="005E68F6" w:rsidP="000F5A54">
      <w:pPr>
        <w:ind w:left="-567" w:firstLine="425"/>
        <w:jc w:val="both"/>
      </w:pPr>
      <w:r>
        <w:t>En c</w:t>
      </w:r>
      <w:r w:rsidR="004B315E" w:rsidRPr="004B315E">
        <w:t xml:space="preserve">omparant les mois de </w:t>
      </w:r>
      <w:r w:rsidR="000F5A54">
        <w:t>2022</w:t>
      </w:r>
      <w:r>
        <w:t xml:space="preserve"> au niveau de la ville de</w:t>
      </w:r>
      <w:r w:rsidR="004B315E" w:rsidRPr="004B315E">
        <w:t xml:space="preserve"> Rabat, on constate que les hausses la plus importantes de l’indice ont été enregistrées au</w:t>
      </w:r>
      <w:r w:rsidR="000F5A54">
        <w:t xml:space="preserve"> cours de</w:t>
      </w:r>
      <w:r w:rsidR="00D454A9">
        <w:t xml:space="preserve"> mois </w:t>
      </w:r>
      <w:r w:rsidR="000F5A54">
        <w:t xml:space="preserve">d’avril </w:t>
      </w:r>
      <w:r w:rsidR="000F5A54" w:rsidRPr="004B315E">
        <w:t>avec</w:t>
      </w:r>
      <w:r w:rsidR="000F5A54">
        <w:t>un</w:t>
      </w:r>
      <w:r w:rsidR="004B315E" w:rsidRPr="004B315E">
        <w:t xml:space="preserve"> taux de variation de +</w:t>
      </w:r>
      <w:r w:rsidR="000F5A54">
        <w:t>2,0</w:t>
      </w:r>
      <w:r w:rsidR="004B315E" w:rsidRPr="004B315E">
        <w:t>%</w:t>
      </w:r>
      <w:r w:rsidR="00FE18BE">
        <w:t> </w:t>
      </w:r>
      <w:r w:rsidR="004B315E" w:rsidRPr="004B315E">
        <w:t>. En revanche les baisses les plus importantes o</w:t>
      </w:r>
      <w:r w:rsidR="000F5A54">
        <w:t>nt été enregistrées au cours de</w:t>
      </w:r>
      <w:r w:rsidR="004B315E" w:rsidRPr="004B315E">
        <w:t xml:space="preserve"> mois </w:t>
      </w:r>
      <w:r w:rsidR="000F5A54">
        <w:t>d’aoûtde -</w:t>
      </w:r>
      <w:r w:rsidR="00D454A9" w:rsidRPr="004B315E">
        <w:t>0,</w:t>
      </w:r>
      <w:r w:rsidR="000F5A54">
        <w:t>4</w:t>
      </w:r>
      <w:r w:rsidR="00636EED" w:rsidRPr="004B315E">
        <w:t>%</w:t>
      </w:r>
      <w:r w:rsidR="00636EED">
        <w:t>.</w:t>
      </w:r>
    </w:p>
    <w:p w:rsidR="00B266F9" w:rsidRDefault="004B315E" w:rsidP="00A058F0">
      <w:pPr>
        <w:ind w:left="-567" w:firstLine="360"/>
        <w:jc w:val="both"/>
      </w:pPr>
      <w:r w:rsidRPr="004B315E">
        <w:t>Tandis qu’au niveau National, les hausses les plus importantes ont été enregistrées au cours des m</w:t>
      </w:r>
      <w:r w:rsidR="00B266F9">
        <w:t xml:space="preserve">ois </w:t>
      </w:r>
      <w:r w:rsidR="000F5A54">
        <w:t xml:space="preserve">de mars et </w:t>
      </w:r>
      <w:r w:rsidR="00E05318">
        <w:t xml:space="preserve">avril, </w:t>
      </w:r>
      <w:r w:rsidR="00B266F9">
        <w:t>avec 1,</w:t>
      </w:r>
      <w:r w:rsidR="000F5A54">
        <w:t>8</w:t>
      </w:r>
      <w:r w:rsidR="00B266F9">
        <w:t>%</w:t>
      </w:r>
      <w:r w:rsidR="000F5A54">
        <w:t xml:space="preserve">. </w:t>
      </w:r>
      <w:r w:rsidR="00B266F9" w:rsidRPr="004B315E">
        <w:t>Alors qu</w:t>
      </w:r>
      <w:r w:rsidR="00A058F0">
        <w:t>’unestagnation a été enregistrée</w:t>
      </w:r>
      <w:r w:rsidR="00B266F9" w:rsidRPr="004B315E">
        <w:t xml:space="preserve"> au cours de</w:t>
      </w:r>
      <w:r w:rsidR="00B266F9">
        <w:t>s</w:t>
      </w:r>
      <w:r w:rsidR="00B266F9" w:rsidRPr="004B315E">
        <w:t xml:space="preserve"> mois de</w:t>
      </w:r>
      <w:r w:rsidR="00A058F0">
        <w:t>janvier</w:t>
      </w:r>
      <w:r w:rsidR="00B266F9">
        <w:t>.</w:t>
      </w:r>
    </w:p>
    <w:p w:rsidR="004B315E" w:rsidRPr="004B315E" w:rsidRDefault="004B315E" w:rsidP="007C2AE6">
      <w:pPr>
        <w:ind w:left="-567" w:firstLine="360"/>
        <w:jc w:val="both"/>
      </w:pPr>
      <w:r w:rsidRPr="004B315E">
        <w:t xml:space="preserve">Parmi les 12 composants de l’indice, </w:t>
      </w:r>
      <w:r w:rsidR="00A058F0">
        <w:t>11</w:t>
      </w:r>
      <w:r w:rsidR="005E68F6">
        <w:t>ont</w:t>
      </w:r>
      <w:r w:rsidR="00A058F0">
        <w:t xml:space="preserve">augmenté et 1 </w:t>
      </w:r>
      <w:r w:rsidR="00E05318">
        <w:t>a</w:t>
      </w:r>
      <w:r w:rsidR="005E68F6">
        <w:t>dimi</w:t>
      </w:r>
      <w:r w:rsidR="005E68F6" w:rsidRPr="004B315E">
        <w:t xml:space="preserve">nué </w:t>
      </w:r>
      <w:r w:rsidR="00AD7F45">
        <w:t>au niveau de la ville de Rabat</w:t>
      </w:r>
      <w:r w:rsidRPr="004B315E">
        <w:t>. P</w:t>
      </w:r>
      <w:r w:rsidR="00E05318">
        <w:t xml:space="preserve">ar contre au niveau national </w:t>
      </w:r>
      <w:r w:rsidR="007C2AE6">
        <w:t>12</w:t>
      </w:r>
      <w:r w:rsidRPr="004B315E">
        <w:t xml:space="preserve"> composants ont augmenté</w:t>
      </w:r>
      <w:r w:rsidR="007C2AE6">
        <w:t>.</w:t>
      </w:r>
    </w:p>
    <w:p w:rsidR="009B643D" w:rsidRDefault="004B315E" w:rsidP="009B643D">
      <w:pPr>
        <w:spacing w:before="240" w:after="240"/>
        <w:ind w:left="-567" w:firstLine="360"/>
        <w:jc w:val="both"/>
        <w:rPr>
          <w:rFonts w:cstheme="majorBidi"/>
        </w:rPr>
      </w:pPr>
      <w:r w:rsidRPr="004B315E">
        <w:rPr>
          <w:rFonts w:cstheme="majorBidi"/>
        </w:rPr>
        <w:t xml:space="preserve">Il est à noter également, que la ville de Rabat est considérée comme l’une des villes qui ont affiché un taux d’inflation moyennement élevé en </w:t>
      </w:r>
      <w:r w:rsidR="007C2AE6">
        <w:rPr>
          <w:rFonts w:cstheme="majorBidi"/>
        </w:rPr>
        <w:t>2022</w:t>
      </w:r>
      <w:r w:rsidRPr="004B315E">
        <w:rPr>
          <w:rFonts w:cstheme="majorBidi"/>
        </w:rPr>
        <w:t xml:space="preserve">, en occupant le </w:t>
      </w:r>
      <w:r w:rsidR="007C2AE6">
        <w:rPr>
          <w:rFonts w:cstheme="majorBidi"/>
        </w:rPr>
        <w:t>14</w:t>
      </w:r>
      <w:r w:rsidRPr="004B315E">
        <w:rPr>
          <w:rFonts w:cstheme="majorBidi"/>
          <w:vertAlign w:val="superscript"/>
        </w:rPr>
        <w:t>ème</w:t>
      </w:r>
      <w:r w:rsidRPr="004B315E">
        <w:rPr>
          <w:rFonts w:cstheme="majorBidi"/>
        </w:rPr>
        <w:t xml:space="preserve"> rang après </w:t>
      </w:r>
      <w:r w:rsidR="005A6457">
        <w:rPr>
          <w:rFonts w:cstheme="majorBidi"/>
        </w:rPr>
        <w:t xml:space="preserve">la ville de </w:t>
      </w:r>
      <w:r w:rsidR="007C2AE6">
        <w:rPr>
          <w:rFonts w:cstheme="majorBidi"/>
        </w:rPr>
        <w:t xml:space="preserve">Casablanca </w:t>
      </w:r>
      <w:r w:rsidR="0090295B">
        <w:rPr>
          <w:rFonts w:cstheme="majorBidi"/>
        </w:rPr>
        <w:t xml:space="preserve">avec </w:t>
      </w:r>
      <w:r w:rsidR="007C2AE6">
        <w:rPr>
          <w:rFonts w:cstheme="majorBidi"/>
        </w:rPr>
        <w:t>6,5</w:t>
      </w:r>
      <w:r w:rsidR="0090295B">
        <w:rPr>
          <w:rFonts w:cstheme="majorBidi"/>
        </w:rPr>
        <w:t xml:space="preserve">%, </w:t>
      </w:r>
      <w:r w:rsidR="007C2AE6">
        <w:rPr>
          <w:rFonts w:cstheme="majorBidi"/>
        </w:rPr>
        <w:t xml:space="preserve">Settat avec 6,6%, Tanger avec 6,7%, </w:t>
      </w:r>
      <w:r w:rsidR="00611E2B">
        <w:rPr>
          <w:rFonts w:cstheme="majorBidi"/>
        </w:rPr>
        <w:t>Tétouan</w:t>
      </w:r>
      <w:r w:rsidR="007C2AE6">
        <w:rPr>
          <w:rFonts w:cstheme="majorBidi"/>
        </w:rPr>
        <w:t xml:space="preserve"> et </w:t>
      </w:r>
      <w:r w:rsidR="00611E2B">
        <w:rPr>
          <w:rFonts w:cstheme="majorBidi"/>
        </w:rPr>
        <w:t>Meknès</w:t>
      </w:r>
      <w:r w:rsidR="0090295B">
        <w:rPr>
          <w:rFonts w:cstheme="majorBidi"/>
        </w:rPr>
        <w:t xml:space="preserve">avec </w:t>
      </w:r>
      <w:r w:rsidR="007C2AE6">
        <w:rPr>
          <w:rFonts w:cstheme="majorBidi"/>
        </w:rPr>
        <w:t>6,8</w:t>
      </w:r>
      <w:r w:rsidR="0090295B">
        <w:rPr>
          <w:rFonts w:cstheme="majorBidi"/>
        </w:rPr>
        <w:t>%,</w:t>
      </w:r>
      <w:r w:rsidR="00611E2B">
        <w:rPr>
          <w:rFonts w:cstheme="majorBidi"/>
        </w:rPr>
        <w:t>Fès</w:t>
      </w:r>
      <w:r w:rsidR="007C2AE6">
        <w:rPr>
          <w:rFonts w:cstheme="majorBidi"/>
        </w:rPr>
        <w:t xml:space="preserve"> et Oujda avec 6,9%,Safi avec 7,0%, </w:t>
      </w:r>
      <w:r w:rsidR="0090295B">
        <w:rPr>
          <w:rFonts w:cstheme="majorBidi"/>
        </w:rPr>
        <w:t xml:space="preserve">Marrakech avec </w:t>
      </w:r>
      <w:r w:rsidR="007C2AE6">
        <w:rPr>
          <w:rFonts w:cstheme="majorBidi"/>
        </w:rPr>
        <w:t>7,3</w:t>
      </w:r>
      <w:r w:rsidR="0090295B">
        <w:rPr>
          <w:rFonts w:cstheme="majorBidi"/>
        </w:rPr>
        <w:t xml:space="preserve">%, </w:t>
      </w:r>
      <w:r w:rsidR="009B643D">
        <w:rPr>
          <w:rFonts w:cstheme="majorBidi"/>
        </w:rPr>
        <w:t xml:space="preserve">Errachidiaavec 7,6%, Kenitra et Beni Mellal avec 8,0% et El </w:t>
      </w:r>
      <w:r w:rsidR="00611E2B">
        <w:rPr>
          <w:rFonts w:cstheme="majorBidi"/>
        </w:rPr>
        <w:t>Hoceima</w:t>
      </w:r>
      <w:r w:rsidR="009B643D">
        <w:rPr>
          <w:rFonts w:cstheme="majorBidi"/>
        </w:rPr>
        <w:t xml:space="preserve"> avec 8,4%.</w:t>
      </w:r>
    </w:p>
    <w:p w:rsidR="009B643D" w:rsidRDefault="009B643D" w:rsidP="009B643D">
      <w:pPr>
        <w:spacing w:before="240" w:after="240"/>
        <w:ind w:left="-567" w:firstLine="360"/>
        <w:jc w:val="both"/>
        <w:rPr>
          <w:rFonts w:cstheme="majorBidi"/>
        </w:rPr>
      </w:pPr>
    </w:p>
    <w:p w:rsidR="004B315E" w:rsidRPr="004B315E" w:rsidRDefault="004B315E" w:rsidP="00E95497">
      <w:pPr>
        <w:spacing w:before="240" w:after="240"/>
        <w:ind w:left="-567" w:firstLine="360"/>
        <w:jc w:val="both"/>
        <w:rPr>
          <w:rFonts w:cstheme="majorBidi"/>
        </w:rPr>
      </w:pPr>
    </w:p>
    <w:p w:rsidR="004B1065" w:rsidRDefault="004B1065" w:rsidP="004B315E">
      <w:pPr>
        <w:spacing w:before="240" w:after="240" w:line="240" w:lineRule="auto"/>
        <w:rPr>
          <w:rFonts w:asciiTheme="majorBidi" w:hAnsiTheme="majorBidi" w:cstheme="majorBidi"/>
          <w:sz w:val="24"/>
          <w:szCs w:val="24"/>
        </w:rPr>
      </w:pPr>
    </w:p>
    <w:p w:rsidR="004B1065" w:rsidRDefault="0088739E" w:rsidP="00E11079">
      <w:pPr>
        <w:spacing w:before="240" w:after="240" w:line="240" w:lineRule="auto"/>
        <w:jc w:val="both"/>
        <w:rPr>
          <w:rFonts w:asciiTheme="majorBidi" w:hAnsiTheme="majorBidi"/>
          <w:color w:val="4F81BD" w:themeColor="accent1"/>
        </w:rPr>
      </w:pPr>
      <w:r w:rsidRPr="00C372E4">
        <w:rPr>
          <w:rFonts w:asciiTheme="majorBidi" w:hAnsiTheme="majorBidi" w:cstheme="majorBidi"/>
          <w:color w:val="0070C0"/>
        </w:rPr>
        <w:tab/>
      </w:r>
      <w:r w:rsidR="006A40CB">
        <w:rPr>
          <w:rFonts w:asciiTheme="majorBidi" w:hAnsiTheme="majorBidi"/>
          <w:color w:val="0070C0"/>
          <w:sz w:val="24"/>
          <w:szCs w:val="24"/>
        </w:rPr>
        <w:tab/>
      </w:r>
    </w:p>
    <w:p w:rsidR="004B1065" w:rsidRDefault="004B1065" w:rsidP="006A40CB">
      <w:pPr>
        <w:pStyle w:val="Titre1"/>
        <w:rPr>
          <w:rFonts w:asciiTheme="majorBidi" w:hAnsiTheme="majorBidi"/>
          <w:color w:val="4F81BD" w:themeColor="accent1"/>
        </w:rPr>
      </w:pPr>
    </w:p>
    <w:p w:rsidR="004B1065" w:rsidRDefault="004B1065" w:rsidP="006A40CB">
      <w:pPr>
        <w:pStyle w:val="Titre1"/>
        <w:rPr>
          <w:rFonts w:asciiTheme="majorBidi" w:hAnsiTheme="majorBidi"/>
          <w:color w:val="4F81BD" w:themeColor="accent1"/>
        </w:rPr>
      </w:pPr>
    </w:p>
    <w:p w:rsidR="004B1065" w:rsidRDefault="004B1065" w:rsidP="006A40CB">
      <w:pPr>
        <w:pStyle w:val="Titre1"/>
        <w:rPr>
          <w:rFonts w:asciiTheme="majorBidi" w:hAnsiTheme="majorBidi"/>
          <w:color w:val="4F81BD" w:themeColor="accent1"/>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2355D1" w:rsidRDefault="002355D1" w:rsidP="00725E87">
      <w:pPr>
        <w:spacing w:before="240" w:after="240" w:line="240" w:lineRule="auto"/>
        <w:jc w:val="both"/>
        <w:rPr>
          <w:rFonts w:asciiTheme="majorBidi" w:hAnsiTheme="majorBidi" w:cstheme="majorBidi"/>
        </w:rPr>
      </w:pPr>
    </w:p>
    <w:p w:rsidR="002355D1" w:rsidRDefault="002355D1"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8D45BD" w:rsidRPr="00C80954" w:rsidRDefault="00016B0F" w:rsidP="00B46E93">
      <w:pPr>
        <w:pStyle w:val="TitreI"/>
        <w:numPr>
          <w:ilvl w:val="0"/>
          <w:numId w:val="0"/>
        </w:numPr>
        <w:jc w:val="center"/>
        <w:rPr>
          <w:rFonts w:asciiTheme="minorHAnsi" w:eastAsiaTheme="majorEastAsia" w:hAnsiTheme="minorHAnsi" w:cstheme="majorBidi"/>
          <w:color w:val="E36C0A" w:themeColor="accent6" w:themeShade="BF"/>
          <w:sz w:val="36"/>
          <w:szCs w:val="36"/>
        </w:rPr>
      </w:pPr>
      <w:bookmarkStart w:id="18" w:name="_Toc183085620"/>
      <w:r w:rsidRPr="00C80954">
        <w:rPr>
          <w:rFonts w:asciiTheme="minorHAnsi" w:eastAsiaTheme="majorEastAsia" w:hAnsiTheme="minorHAnsi" w:cstheme="majorBidi"/>
          <w:color w:val="E36C0A" w:themeColor="accent6" w:themeShade="BF"/>
          <w:sz w:val="36"/>
          <w:szCs w:val="36"/>
        </w:rPr>
        <w:t>ANNEXES</w:t>
      </w:r>
      <w:bookmarkEnd w:id="18"/>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2A3E84" w:rsidRPr="00A87EFE" w:rsidRDefault="0031503A" w:rsidP="002A3E84">
      <w:pPr>
        <w:pStyle w:val="TitreI"/>
        <w:numPr>
          <w:ilvl w:val="0"/>
          <w:numId w:val="17"/>
        </w:numPr>
        <w:rPr>
          <w:rFonts w:asciiTheme="minorHAnsi" w:hAnsiTheme="minorHAnsi"/>
          <w:color w:val="984806" w:themeColor="accent6" w:themeShade="80"/>
        </w:rPr>
      </w:pPr>
      <w:r>
        <w:br w:type="page"/>
      </w:r>
      <w:bookmarkStart w:id="19" w:name="_Toc183085621"/>
      <w:r w:rsidR="002A3E84" w:rsidRPr="00A87EFE">
        <w:rPr>
          <w:rFonts w:asciiTheme="minorHAnsi" w:hAnsiTheme="minorHAnsi"/>
          <w:color w:val="984806" w:themeColor="accent6" w:themeShade="80"/>
        </w:rPr>
        <w:lastRenderedPageBreak/>
        <w:t>Aspects méthodologiques de l’IPC</w:t>
      </w:r>
      <w:bookmarkEnd w:id="19"/>
    </w:p>
    <w:p w:rsidR="002A3E84" w:rsidRPr="00A87EFE" w:rsidRDefault="002A3E84" w:rsidP="002A3E84">
      <w:pPr>
        <w:pStyle w:val="Titre2"/>
        <w:numPr>
          <w:ilvl w:val="0"/>
          <w:numId w:val="7"/>
        </w:numPr>
        <w:rPr>
          <w:rFonts w:asciiTheme="minorHAnsi" w:hAnsiTheme="minorHAnsi"/>
          <w:color w:val="E36C0A" w:themeColor="accent6" w:themeShade="BF"/>
        </w:rPr>
      </w:pPr>
      <w:bookmarkStart w:id="20" w:name="_Toc183085622"/>
      <w:r w:rsidRPr="00A87EFE">
        <w:rPr>
          <w:rFonts w:asciiTheme="minorHAnsi" w:hAnsiTheme="minorHAnsi"/>
          <w:color w:val="E36C0A" w:themeColor="accent6" w:themeShade="BF"/>
        </w:rPr>
        <w:t>Population de référence</w:t>
      </w:r>
      <w:bookmarkEnd w:id="20"/>
    </w:p>
    <w:p w:rsidR="002A3E84" w:rsidRDefault="002A3E84" w:rsidP="002A3E84">
      <w:pPr>
        <w:spacing w:before="120" w:after="120"/>
        <w:ind w:left="-567" w:right="-295" w:firstLine="360"/>
        <w:jc w:val="both"/>
      </w:pPr>
      <w:r>
        <w:t xml:space="preserve">La population de l’indice est constituée </w:t>
      </w:r>
      <w:r w:rsidR="00873642">
        <w:t xml:space="preserve">de </w:t>
      </w:r>
      <w:r w:rsidR="00873642" w:rsidRPr="00CE6408">
        <w:t>l’ensemble</w:t>
      </w:r>
      <w:r w:rsidRPr="00CE6408">
        <w:t xml:space="preserve"> de la population urbaine.</w:t>
      </w:r>
    </w:p>
    <w:p w:rsidR="002A3E84" w:rsidRPr="00A87EFE" w:rsidRDefault="002A3E84" w:rsidP="002A3E84">
      <w:pPr>
        <w:pStyle w:val="Titre2"/>
        <w:numPr>
          <w:ilvl w:val="0"/>
          <w:numId w:val="7"/>
        </w:numPr>
        <w:rPr>
          <w:rFonts w:asciiTheme="minorHAnsi" w:hAnsiTheme="minorHAnsi"/>
          <w:color w:val="E36C0A" w:themeColor="accent6" w:themeShade="BF"/>
        </w:rPr>
      </w:pPr>
      <w:bookmarkStart w:id="21" w:name="_Toc183085623"/>
      <w:r w:rsidRPr="00A87EFE">
        <w:rPr>
          <w:rFonts w:asciiTheme="minorHAnsi" w:hAnsiTheme="minorHAnsi"/>
          <w:color w:val="E36C0A" w:themeColor="accent6" w:themeShade="BF"/>
        </w:rPr>
        <w:t>Panier de l’indice</w:t>
      </w:r>
      <w:bookmarkEnd w:id="21"/>
    </w:p>
    <w:p w:rsidR="005D6325" w:rsidRPr="005D6325" w:rsidRDefault="005D6325" w:rsidP="00B46E93">
      <w:pPr>
        <w:widowControl w:val="0"/>
        <w:autoSpaceDE w:val="0"/>
        <w:autoSpaceDN w:val="0"/>
        <w:adjustRightInd w:val="0"/>
        <w:spacing w:before="120" w:after="120"/>
        <w:ind w:left="-567" w:firstLine="993"/>
        <w:jc w:val="both"/>
        <w:rPr>
          <w:rFonts w:eastAsia="Arial Unicode MS"/>
        </w:rPr>
      </w:pPr>
      <w:r>
        <w:t>Le panier de l’indice des prix à la consommation (base 100 : 2017) contient 546 produits et 1391 variétés (au lieu de 478 produits et 1067 variétés dans le panier de l’indice précédant) représentant les habitudes de consommation des ménages urbains. Le choix des produits retenus dans ce panier a été fait selon leur importance dans la dépense totale des ménages obtenus à partir des données détaillées de l’Enquête Nationale de Consommation et des Dépenses des ménages de 2013-2014.</w:t>
      </w:r>
      <w:r w:rsidRPr="005D6325">
        <w:rPr>
          <w:color w:val="000000"/>
          <w:spacing w:val="-1"/>
        </w:rPr>
        <w:t xml:space="preserve">Ces produits sont </w:t>
      </w:r>
      <w:r>
        <w:rPr>
          <w:color w:val="000000"/>
          <w:spacing w:val="-1"/>
        </w:rPr>
        <w:t>classé</w:t>
      </w:r>
      <w:r w:rsidRPr="005D6325">
        <w:rPr>
          <w:color w:val="000000"/>
          <w:spacing w:val="-1"/>
        </w:rPr>
        <w:t>s en 12 divisions et 41 groupes.</w:t>
      </w:r>
    </w:p>
    <w:p w:rsidR="002A3E84" w:rsidRPr="00A87EFE" w:rsidRDefault="002A3E84" w:rsidP="002A3E84">
      <w:pPr>
        <w:pStyle w:val="Titre2"/>
        <w:numPr>
          <w:ilvl w:val="0"/>
          <w:numId w:val="7"/>
        </w:numPr>
        <w:rPr>
          <w:rFonts w:asciiTheme="majorBidi" w:hAnsiTheme="majorBidi"/>
          <w:color w:val="E36C0A" w:themeColor="accent6" w:themeShade="BF"/>
          <w:sz w:val="24"/>
          <w:szCs w:val="24"/>
        </w:rPr>
      </w:pPr>
      <w:bookmarkStart w:id="22" w:name="_Toc183085624"/>
      <w:r w:rsidRPr="00A87EFE">
        <w:rPr>
          <w:rFonts w:asciiTheme="minorHAnsi" w:hAnsiTheme="minorHAnsi"/>
          <w:color w:val="E36C0A" w:themeColor="accent6" w:themeShade="BF"/>
        </w:rPr>
        <w:t>Champ géographique</w:t>
      </w:r>
      <w:bookmarkEnd w:id="22"/>
    </w:p>
    <w:p w:rsidR="002A3E84" w:rsidRPr="00CE6408" w:rsidRDefault="002A3E84" w:rsidP="00B46E93">
      <w:pPr>
        <w:spacing w:before="120" w:after="120"/>
        <w:ind w:left="-567" w:firstLine="993"/>
        <w:jc w:val="both"/>
      </w:pPr>
      <w:r>
        <w:t xml:space="preserve">Lors de la réforme actuelle de 2017, le champ de l’enquête mensuelle sur les prix de détail a été élargi pour couvrir 18 villes (au lieu de 17 villes dans l’indice précédant) en ajoutant la ville d’Errachidia au champ géographique afin de tenir compte du nouveau découpage régional. Ces villes représentent toutes les régions du </w:t>
      </w:r>
      <w:r w:rsidR="000B4C7E">
        <w:t>Royaume àsavoir :</w:t>
      </w:r>
      <w:r w:rsidRPr="00CE6408">
        <w:t>Agadir, Casablanca, Fès, Kenitra, Marrakech, Oujda, R</w:t>
      </w:r>
      <w:r>
        <w:t>abat, Tétouan, Meknès, Tanger, Laâyoune</w:t>
      </w:r>
      <w:r w:rsidRPr="00CE6408">
        <w:t>, Al Hoceima, Settat, Béni Mellal, Safi, Guelmim</w:t>
      </w:r>
      <w:r>
        <w:t>,</w:t>
      </w:r>
      <w:r w:rsidRPr="00CE6408">
        <w:t xml:space="preserve"> Dakhla</w:t>
      </w:r>
      <w:r>
        <w:t xml:space="preserve"> et Errachidia</w:t>
      </w:r>
      <w:r w:rsidRPr="00CE6408">
        <w:t xml:space="preserve">. Le choix de ces villes a été basé sur plusieurs critères dont notamment : </w:t>
      </w:r>
    </w:p>
    <w:p w:rsidR="002A3E84" w:rsidRPr="00BB1FA4" w:rsidRDefault="002A3E84" w:rsidP="002A3E84">
      <w:pPr>
        <w:pStyle w:val="Paragraphedeliste"/>
        <w:numPr>
          <w:ilvl w:val="0"/>
          <w:numId w:val="8"/>
        </w:numPr>
        <w:spacing w:before="120" w:after="120" w:line="240" w:lineRule="auto"/>
        <w:ind w:left="851"/>
        <w:jc w:val="both"/>
      </w:pPr>
      <w:r w:rsidRPr="00BB1FA4">
        <w:t>La représentativité régionale ;</w:t>
      </w:r>
    </w:p>
    <w:p w:rsidR="002A3E84" w:rsidRPr="00BB1FA4" w:rsidRDefault="002A3E84" w:rsidP="002A3E84">
      <w:pPr>
        <w:pStyle w:val="Paragraphedeliste"/>
        <w:widowControl w:val="0"/>
        <w:numPr>
          <w:ilvl w:val="0"/>
          <w:numId w:val="8"/>
        </w:numPr>
        <w:autoSpaceDE w:val="0"/>
        <w:autoSpaceDN w:val="0"/>
        <w:adjustRightInd w:val="0"/>
        <w:spacing w:before="120" w:after="120" w:line="240" w:lineRule="auto"/>
        <w:ind w:left="851"/>
        <w:jc w:val="both"/>
      </w:pPr>
      <w:r w:rsidRPr="00BB1FA4">
        <w:t>L’importance de la ville</w:t>
      </w:r>
      <w:r>
        <w:t>.</w:t>
      </w:r>
    </w:p>
    <w:p w:rsidR="002A3E84" w:rsidRDefault="002A3E84" w:rsidP="002A3E84">
      <w:pPr>
        <w:pStyle w:val="Paragraphedeliste"/>
        <w:widowControl w:val="0"/>
        <w:autoSpaceDE w:val="0"/>
        <w:autoSpaceDN w:val="0"/>
        <w:adjustRightInd w:val="0"/>
        <w:spacing w:before="120" w:after="120" w:line="240" w:lineRule="auto"/>
        <w:ind w:left="851"/>
        <w:jc w:val="both"/>
        <w:rPr>
          <w:rFonts w:asciiTheme="majorBidi" w:hAnsiTheme="majorBidi" w:cstheme="majorBidi"/>
        </w:rPr>
      </w:pPr>
    </w:p>
    <w:p w:rsidR="002A3E84" w:rsidRPr="00A87EFE" w:rsidRDefault="002A3E84" w:rsidP="002A3E84">
      <w:pPr>
        <w:pStyle w:val="Titre2"/>
        <w:numPr>
          <w:ilvl w:val="0"/>
          <w:numId w:val="7"/>
        </w:numPr>
        <w:rPr>
          <w:rFonts w:asciiTheme="minorHAnsi" w:hAnsiTheme="minorHAnsi"/>
          <w:color w:val="E36C0A" w:themeColor="accent6" w:themeShade="BF"/>
        </w:rPr>
      </w:pPr>
      <w:bookmarkStart w:id="23" w:name="_Toc183085625"/>
      <w:r w:rsidRPr="00A87EFE">
        <w:rPr>
          <w:rFonts w:asciiTheme="minorHAnsi" w:hAnsiTheme="minorHAnsi"/>
          <w:color w:val="E36C0A" w:themeColor="accent6" w:themeShade="BF"/>
        </w:rPr>
        <w:t>Coefficients de pondération</w:t>
      </w:r>
      <w:bookmarkEnd w:id="23"/>
    </w:p>
    <w:p w:rsidR="002A3E84" w:rsidRPr="00341AA9" w:rsidRDefault="00FF22F9" w:rsidP="00B46E93">
      <w:pPr>
        <w:widowControl w:val="0"/>
        <w:autoSpaceDE w:val="0"/>
        <w:autoSpaceDN w:val="0"/>
        <w:adjustRightInd w:val="0"/>
        <w:spacing w:before="120" w:after="120"/>
        <w:ind w:left="-567" w:firstLine="708"/>
        <w:jc w:val="both"/>
        <w:rPr>
          <w:color w:val="000000"/>
          <w:spacing w:val="-1"/>
        </w:rPr>
      </w:pPr>
      <w:r w:rsidRPr="00341AA9">
        <w:rPr>
          <w:color w:val="000000"/>
          <w:spacing w:val="-1"/>
        </w:rPr>
        <w:t>Les coefficients de pondération</w:t>
      </w:r>
      <w:r w:rsidR="002A3E84" w:rsidRPr="00341AA9">
        <w:rPr>
          <w:color w:val="000000"/>
          <w:spacing w:val="-1"/>
        </w:rPr>
        <w:t xml:space="preserve"> relatifs aux 12 divisions de l’IPC représentent la structure des dépenses de consommation des ménages urbains pour chaque région. Ils sont </w:t>
      </w:r>
      <w:r w:rsidRPr="00341AA9">
        <w:rPr>
          <w:color w:val="000000"/>
          <w:spacing w:val="-1"/>
        </w:rPr>
        <w:t xml:space="preserve">calculés sur </w:t>
      </w:r>
      <w:r w:rsidR="00611E2B" w:rsidRPr="00341AA9">
        <w:rPr>
          <w:color w:val="000000"/>
          <w:spacing w:val="-1"/>
        </w:rPr>
        <w:t>la base des données de l’Enquête Nationale sur la Consommation et lesDépenses des Ménages de 2001</w:t>
      </w:r>
      <w:r w:rsidR="002A3E84" w:rsidRPr="00341AA9">
        <w:rPr>
          <w:color w:val="000000"/>
          <w:spacing w:val="-1"/>
        </w:rPr>
        <w:t xml:space="preserve"> et </w:t>
      </w:r>
      <w:r w:rsidR="00611E2B" w:rsidRPr="00341AA9">
        <w:rPr>
          <w:color w:val="000000"/>
          <w:spacing w:val="-1"/>
        </w:rPr>
        <w:t>actualisés par les données</w:t>
      </w:r>
      <w:r w:rsidR="002A3E84" w:rsidRPr="00341AA9">
        <w:rPr>
          <w:color w:val="000000"/>
          <w:spacing w:val="-1"/>
        </w:rPr>
        <w:t xml:space="preserve">  provenant  de  l’Enquête  sur  les Revenus et les Niveaux de Vie des Ménages de 2007. </w:t>
      </w:r>
    </w:p>
    <w:p w:rsidR="005D6325" w:rsidRPr="00FB0FDC" w:rsidRDefault="005D6325" w:rsidP="00B46E93">
      <w:pPr>
        <w:widowControl w:val="0"/>
        <w:autoSpaceDE w:val="0"/>
        <w:autoSpaceDN w:val="0"/>
        <w:adjustRightInd w:val="0"/>
        <w:spacing w:before="120" w:after="120"/>
        <w:ind w:left="-567" w:firstLine="708"/>
        <w:jc w:val="both"/>
        <w:rPr>
          <w:rFonts w:cstheme="majorBidi"/>
          <w:lang w:val="fr-MA"/>
        </w:rPr>
      </w:pPr>
      <w:r w:rsidRPr="00FB0FDC">
        <w:t xml:space="preserve">A partir de janvier 2018, ces coefficients ont été mis à jour sur la base des nouvelles données issues de l’enquête nationale sur la consommation et les dépenses des ménages de 2013-2014. </w:t>
      </w:r>
      <w:r w:rsidRPr="00FB0FDC">
        <w:rPr>
          <w:rFonts w:cstheme="majorBidi"/>
        </w:rPr>
        <w:t>Selon cette dernière enquête, les coefficients de pondération des produits alimentaires et boissons ont atteint 34,68% enregistrant ainsi une baisse de 10,</w:t>
      </w:r>
      <w:r>
        <w:rPr>
          <w:rFonts w:cstheme="majorBidi"/>
        </w:rPr>
        <w:t>39</w:t>
      </w:r>
      <w:r w:rsidRPr="00FB0FDC">
        <w:rPr>
          <w:rFonts w:cstheme="majorBidi"/>
        </w:rPr>
        <w:t xml:space="preserve">% par rapport à 2007. </w:t>
      </w:r>
      <w:r w:rsidRPr="00FB0FDC">
        <w:rPr>
          <w:rFonts w:cstheme="majorBidi"/>
          <w:lang w:val="fr-MA"/>
        </w:rPr>
        <w:t>Cette diminution a profité à certains postes de dépenses, notamment : la Santé dont le coefficient budgétaire a augmenté de 99,4%, l’Enseignement de 30,2%, les biens et services divers de 19,4% et les Loisirs transport de plus de 17</w:t>
      </w:r>
      <w:r>
        <w:rPr>
          <w:rFonts w:cstheme="majorBidi"/>
          <w:lang w:val="fr-MA"/>
        </w:rPr>
        <w:t>,0</w:t>
      </w:r>
      <w:r w:rsidRPr="00FB0FDC">
        <w:rPr>
          <w:rFonts w:cstheme="majorBidi"/>
          <w:lang w:val="fr-MA"/>
        </w:rPr>
        <w:t xml:space="preserve"> %.  </w:t>
      </w:r>
    </w:p>
    <w:p w:rsidR="002A3E84" w:rsidRDefault="004419F0" w:rsidP="002A3E84">
      <w:pPr>
        <w:spacing w:before="240" w:after="240"/>
        <w:ind w:left="-567" w:right="142" w:firstLine="708"/>
        <w:jc w:val="both"/>
      </w:pPr>
      <w:r w:rsidRPr="004F2990">
        <w:t>La structure des coefficients budgétaires de l’ensemble des biens et services du panier de l’indice</w:t>
      </w:r>
      <w:r>
        <w:t xml:space="preserve"> au niveau de la ville de Rabat</w:t>
      </w:r>
      <w:r w:rsidRPr="004F2990">
        <w:t>, selon les deux enquêtes, est présentée dans le tableau, ci-dessous :</w:t>
      </w:r>
    </w:p>
    <w:p w:rsidR="002A3E84" w:rsidRDefault="002A3E84" w:rsidP="002A3E84">
      <w:pPr>
        <w:spacing w:before="240" w:after="240"/>
        <w:ind w:left="-567" w:right="142" w:firstLine="708"/>
        <w:jc w:val="both"/>
      </w:pPr>
    </w:p>
    <w:p w:rsidR="002A3E84" w:rsidRDefault="002A3E84" w:rsidP="002A3E84">
      <w:pPr>
        <w:spacing w:before="240" w:after="240"/>
        <w:ind w:left="-567" w:right="142" w:firstLine="708"/>
        <w:jc w:val="both"/>
      </w:pPr>
    </w:p>
    <w:p w:rsidR="005D6325" w:rsidRDefault="005D6325" w:rsidP="002A3E84">
      <w:pPr>
        <w:spacing w:before="240" w:after="240"/>
        <w:ind w:left="-567" w:right="142" w:firstLine="708"/>
        <w:jc w:val="both"/>
      </w:pPr>
    </w:p>
    <w:p w:rsidR="00873642" w:rsidRDefault="00873642" w:rsidP="002A3E84">
      <w:pPr>
        <w:spacing w:before="240" w:after="240"/>
        <w:ind w:left="-567" w:right="142" w:firstLine="708"/>
        <w:jc w:val="both"/>
      </w:pPr>
    </w:p>
    <w:p w:rsidR="004419F0" w:rsidRDefault="004419F0" w:rsidP="002A3E84">
      <w:pPr>
        <w:spacing w:before="240" w:after="240"/>
        <w:ind w:left="-567" w:right="142" w:firstLine="708"/>
        <w:jc w:val="both"/>
      </w:pPr>
    </w:p>
    <w:p w:rsidR="00B46E93" w:rsidRPr="004F2990" w:rsidRDefault="00B46E93" w:rsidP="002A3E84">
      <w:pPr>
        <w:spacing w:before="240" w:after="240"/>
        <w:ind w:left="-567" w:right="142" w:firstLine="708"/>
        <w:jc w:val="both"/>
      </w:pPr>
    </w:p>
    <w:p w:rsidR="002A3E84" w:rsidRDefault="002A3E84" w:rsidP="00FF22F9">
      <w:pPr>
        <w:widowControl w:val="0"/>
        <w:autoSpaceDE w:val="0"/>
        <w:autoSpaceDN w:val="0"/>
        <w:adjustRightInd w:val="0"/>
        <w:spacing w:after="0" w:line="240" w:lineRule="auto"/>
        <w:ind w:left="-142" w:right="-295"/>
        <w:jc w:val="center"/>
        <w:rPr>
          <w:rFonts w:eastAsiaTheme="majorEastAsia" w:cstheme="majorBidi"/>
          <w:b/>
          <w:bCs/>
          <w:color w:val="E36C0A" w:themeColor="accent6" w:themeShade="BF"/>
        </w:rPr>
      </w:pPr>
      <w:r w:rsidRPr="00C672C0">
        <w:rPr>
          <w:rFonts w:eastAsiaTheme="majorEastAsia" w:cstheme="majorBidi"/>
          <w:b/>
          <w:bCs/>
          <w:color w:val="E36C0A" w:themeColor="accent6" w:themeShade="BF"/>
        </w:rPr>
        <w:t xml:space="preserve">Tableau </w:t>
      </w:r>
      <w:r w:rsidR="0060034A">
        <w:rPr>
          <w:rFonts w:eastAsiaTheme="majorEastAsia" w:cstheme="majorBidi"/>
          <w:b/>
          <w:bCs/>
          <w:color w:val="E36C0A" w:themeColor="accent6" w:themeShade="BF"/>
        </w:rPr>
        <w:t>a</w:t>
      </w:r>
      <w:r w:rsidR="00FF22F9">
        <w:rPr>
          <w:rFonts w:eastAsiaTheme="majorEastAsia" w:cstheme="majorBidi"/>
          <w:b/>
          <w:bCs/>
          <w:color w:val="E36C0A" w:themeColor="accent6" w:themeShade="BF"/>
        </w:rPr>
        <w:t> : C</w:t>
      </w:r>
      <w:r w:rsidRPr="00C672C0">
        <w:rPr>
          <w:rFonts w:eastAsiaTheme="majorEastAsia" w:cstheme="majorBidi"/>
          <w:b/>
          <w:bCs/>
          <w:color w:val="E36C0A" w:themeColor="accent6" w:themeShade="BF"/>
        </w:rPr>
        <w:t xml:space="preserve">oefficients de pondération </w:t>
      </w:r>
      <w:r w:rsidR="00FF22F9" w:rsidRPr="00C672C0">
        <w:rPr>
          <w:rFonts w:eastAsiaTheme="majorEastAsia" w:cstheme="majorBidi"/>
          <w:b/>
          <w:bCs/>
          <w:color w:val="E36C0A" w:themeColor="accent6" w:themeShade="BF"/>
        </w:rPr>
        <w:t>de l’IPC</w:t>
      </w:r>
      <w:r w:rsidRPr="00C672C0">
        <w:rPr>
          <w:rFonts w:eastAsiaTheme="majorEastAsia" w:cstheme="majorBidi"/>
          <w:b/>
          <w:bCs/>
          <w:color w:val="E36C0A" w:themeColor="accent6" w:themeShade="BF"/>
        </w:rPr>
        <w:t xml:space="preserve"> par division de </w:t>
      </w:r>
      <w:r w:rsidR="00FF22F9" w:rsidRPr="00C672C0">
        <w:rPr>
          <w:rFonts w:eastAsiaTheme="majorEastAsia" w:cstheme="majorBidi"/>
          <w:b/>
          <w:bCs/>
          <w:color w:val="E36C0A" w:themeColor="accent6" w:themeShade="BF"/>
        </w:rPr>
        <w:t>produits en</w:t>
      </w:r>
      <w:r w:rsidRPr="00C672C0">
        <w:rPr>
          <w:rFonts w:eastAsiaTheme="majorEastAsia" w:cstheme="majorBidi"/>
          <w:b/>
          <w:bCs/>
          <w:color w:val="E36C0A" w:themeColor="accent6" w:themeShade="BF"/>
        </w:rPr>
        <w:t xml:space="preserve"> 2007 et 2014</w:t>
      </w:r>
    </w:p>
    <w:tbl>
      <w:tblPr>
        <w:tblStyle w:val="Grilledutableau"/>
        <w:tblpPr w:leftFromText="141" w:rightFromText="141" w:vertAnchor="text" w:horzAnchor="margin" w:tblpY="375"/>
        <w:tblW w:w="9747" w:type="dxa"/>
        <w:shd w:val="clear" w:color="auto" w:fill="FBD4B4" w:themeFill="accent6" w:themeFillTint="66"/>
        <w:tblLook w:val="04A0"/>
      </w:tblPr>
      <w:tblGrid>
        <w:gridCol w:w="6537"/>
        <w:gridCol w:w="1509"/>
        <w:gridCol w:w="1701"/>
      </w:tblGrid>
      <w:tr w:rsidR="004419F0" w:rsidRPr="00FB0FDC" w:rsidTr="00B46E93">
        <w:trPr>
          <w:trHeight w:val="416"/>
        </w:trPr>
        <w:tc>
          <w:tcPr>
            <w:tcW w:w="6537" w:type="dxa"/>
            <w:shd w:val="clear" w:color="auto" w:fill="FBD4B4" w:themeFill="accent6" w:themeFillTint="66"/>
            <w:vAlign w:val="center"/>
          </w:tcPr>
          <w:p w:rsidR="004419F0" w:rsidRPr="00FB0FDC" w:rsidRDefault="004419F0" w:rsidP="004419F0">
            <w:pPr>
              <w:widowControl w:val="0"/>
              <w:autoSpaceDE w:val="0"/>
              <w:autoSpaceDN w:val="0"/>
              <w:adjustRightInd w:val="0"/>
              <w:spacing w:line="180" w:lineRule="exact"/>
              <w:ind w:left="188"/>
              <w:jc w:val="center"/>
              <w:rPr>
                <w:b/>
                <w:bCs/>
              </w:rPr>
            </w:pPr>
            <w:r w:rsidRPr="00FB0FDC">
              <w:rPr>
                <w:b/>
                <w:bCs/>
              </w:rPr>
              <w:t>Division des produits</w:t>
            </w:r>
          </w:p>
        </w:tc>
        <w:tc>
          <w:tcPr>
            <w:tcW w:w="1509" w:type="dxa"/>
            <w:shd w:val="clear" w:color="auto" w:fill="FBD4B4" w:themeFill="accent6" w:themeFillTint="66"/>
            <w:vAlign w:val="center"/>
          </w:tcPr>
          <w:p w:rsidR="004419F0" w:rsidRPr="00FB0FDC" w:rsidRDefault="004419F0" w:rsidP="004419F0">
            <w:pPr>
              <w:spacing w:line="180" w:lineRule="exact"/>
              <w:jc w:val="center"/>
              <w:rPr>
                <w:b/>
                <w:bCs/>
                <w:noProof/>
                <w:color w:val="000000"/>
                <w:spacing w:val="-1"/>
              </w:rPr>
            </w:pPr>
            <w:r w:rsidRPr="00FB0FDC">
              <w:rPr>
                <w:b/>
                <w:bCs/>
                <w:noProof/>
                <w:color w:val="000000"/>
                <w:spacing w:val="-1"/>
              </w:rPr>
              <w:t>2007  (%)</w:t>
            </w:r>
          </w:p>
        </w:tc>
        <w:tc>
          <w:tcPr>
            <w:tcW w:w="1701" w:type="dxa"/>
            <w:shd w:val="clear" w:color="auto" w:fill="FBD4B4" w:themeFill="accent6" w:themeFillTint="66"/>
            <w:vAlign w:val="center"/>
          </w:tcPr>
          <w:p w:rsidR="004419F0" w:rsidRPr="00FB0FDC" w:rsidRDefault="004419F0" w:rsidP="004419F0">
            <w:pPr>
              <w:spacing w:line="180" w:lineRule="exact"/>
              <w:jc w:val="center"/>
              <w:rPr>
                <w:b/>
                <w:bCs/>
                <w:noProof/>
                <w:color w:val="000000"/>
                <w:spacing w:val="-1"/>
              </w:rPr>
            </w:pPr>
            <w:r w:rsidRPr="00FB0FDC">
              <w:rPr>
                <w:b/>
                <w:bCs/>
                <w:noProof/>
                <w:color w:val="000000"/>
                <w:spacing w:val="-1"/>
              </w:rPr>
              <w:t>2014 (%)</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01. Produits alimentaires et boissons non alcoolisées</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36,244</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33,403</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02.Boissons alcoolisées et tabac</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2,460</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1,277</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ind w:right="-340"/>
              <w:rPr>
                <w:noProof/>
                <w:color w:val="000000"/>
                <w:spacing w:val="-1"/>
              </w:rPr>
            </w:pPr>
            <w:r w:rsidRPr="00FB0FDC">
              <w:rPr>
                <w:noProof/>
                <w:color w:val="000000"/>
                <w:spacing w:val="-1"/>
              </w:rPr>
              <w:t>03.Articles d'habillement et chaussures</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3,726</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3,802</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04. Logement, eau, électricité et autres combustibles</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15,388</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13,531</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05. Meubles, articles de ménages et entretien courant du   foyer</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5,190</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4,508</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06.Santé</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4,647</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9,268</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07.Transport</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10,873</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12,731</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08.communication</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4,521</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3,178</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09.Loisirs et culture</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2,435</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2,872</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10.Enseignement</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5,058</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6,585</w:t>
            </w:r>
          </w:p>
        </w:tc>
      </w:tr>
      <w:tr w:rsidR="004419F0" w:rsidRPr="00FB0FDC" w:rsidTr="00B46E93">
        <w:trPr>
          <w:trHeight w:val="284"/>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11.Restaurants et hôtels</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3,389</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1,601</w:t>
            </w:r>
          </w:p>
        </w:tc>
      </w:tr>
      <w:tr w:rsidR="004419F0" w:rsidRPr="00FB0FDC" w:rsidTr="00B46E93">
        <w:trPr>
          <w:trHeight w:val="306"/>
        </w:trPr>
        <w:tc>
          <w:tcPr>
            <w:tcW w:w="6537" w:type="dxa"/>
            <w:shd w:val="clear" w:color="auto" w:fill="FBD4B4" w:themeFill="accent6" w:themeFillTint="66"/>
            <w:vAlign w:val="center"/>
          </w:tcPr>
          <w:p w:rsidR="004419F0" w:rsidRPr="00FB0FDC" w:rsidRDefault="004419F0" w:rsidP="004419F0">
            <w:pPr>
              <w:rPr>
                <w:noProof/>
                <w:color w:val="000000"/>
                <w:spacing w:val="-1"/>
              </w:rPr>
            </w:pPr>
            <w:r w:rsidRPr="00FB0FDC">
              <w:rPr>
                <w:noProof/>
                <w:color w:val="000000"/>
                <w:spacing w:val="-1"/>
              </w:rPr>
              <w:t>12.Biens et services divers</w:t>
            </w:r>
          </w:p>
        </w:tc>
        <w:tc>
          <w:tcPr>
            <w:tcW w:w="1509"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6,069</w:t>
            </w:r>
          </w:p>
        </w:tc>
        <w:tc>
          <w:tcPr>
            <w:tcW w:w="1701" w:type="dxa"/>
            <w:shd w:val="clear" w:color="auto" w:fill="FBD4B4" w:themeFill="accent6" w:themeFillTint="66"/>
            <w:vAlign w:val="center"/>
          </w:tcPr>
          <w:p w:rsidR="004419F0" w:rsidRPr="00FB0FDC" w:rsidRDefault="004419F0" w:rsidP="004419F0">
            <w:pPr>
              <w:jc w:val="center"/>
              <w:rPr>
                <w:noProof/>
                <w:color w:val="000000"/>
                <w:spacing w:val="-1"/>
              </w:rPr>
            </w:pPr>
            <w:r w:rsidRPr="00FB0FDC">
              <w:rPr>
                <w:noProof/>
                <w:color w:val="000000"/>
                <w:spacing w:val="-1"/>
              </w:rPr>
              <w:t>7,244</w:t>
            </w:r>
          </w:p>
        </w:tc>
      </w:tr>
    </w:tbl>
    <w:p w:rsidR="004419F0" w:rsidRPr="00C672C0" w:rsidRDefault="004419F0" w:rsidP="00B46E93">
      <w:pPr>
        <w:widowControl w:val="0"/>
        <w:autoSpaceDE w:val="0"/>
        <w:autoSpaceDN w:val="0"/>
        <w:adjustRightInd w:val="0"/>
        <w:spacing w:after="0" w:line="240" w:lineRule="auto"/>
        <w:ind w:left="-142" w:right="425"/>
        <w:jc w:val="center"/>
        <w:rPr>
          <w:rFonts w:eastAsiaTheme="majorEastAsia" w:cstheme="majorBidi"/>
          <w:b/>
          <w:bCs/>
          <w:color w:val="E36C0A" w:themeColor="accent6" w:themeShade="BF"/>
        </w:rPr>
      </w:pPr>
      <w:r>
        <w:rPr>
          <w:rFonts w:eastAsiaTheme="majorEastAsia" w:cstheme="majorBidi"/>
          <w:b/>
          <w:bCs/>
          <w:color w:val="E36C0A" w:themeColor="accent6" w:themeShade="BF"/>
        </w:rPr>
        <w:t>-Ville de Rabat-</w:t>
      </w:r>
    </w:p>
    <w:p w:rsidR="00FF22F9" w:rsidRPr="004419F0" w:rsidRDefault="00FF22F9" w:rsidP="00B46E93">
      <w:pPr>
        <w:tabs>
          <w:tab w:val="left" w:pos="4820"/>
        </w:tabs>
        <w:spacing w:line="360" w:lineRule="auto"/>
        <w:ind w:right="567"/>
        <w:jc w:val="right"/>
        <w:rPr>
          <w:b/>
          <w:bCs/>
          <w:sz w:val="16"/>
          <w:szCs w:val="16"/>
        </w:rPr>
      </w:pPr>
      <w:r w:rsidRPr="004419F0">
        <w:rPr>
          <w:b/>
          <w:bCs/>
          <w:sz w:val="16"/>
          <w:szCs w:val="16"/>
        </w:rPr>
        <w:t>Source : HCP</w:t>
      </w:r>
    </w:p>
    <w:p w:rsidR="00FF22F9" w:rsidRDefault="00FF22F9" w:rsidP="004419F0">
      <w:pPr>
        <w:tabs>
          <w:tab w:val="left" w:pos="4820"/>
        </w:tabs>
        <w:spacing w:line="360" w:lineRule="auto"/>
        <w:ind w:right="-226"/>
        <w:jc w:val="right"/>
        <w:rPr>
          <w:b/>
          <w:bCs/>
          <w:sz w:val="16"/>
          <w:szCs w:val="16"/>
        </w:rPr>
      </w:pPr>
    </w:p>
    <w:p w:rsidR="00B46E93" w:rsidRDefault="00B46E93" w:rsidP="004419F0">
      <w:pPr>
        <w:tabs>
          <w:tab w:val="left" w:pos="4820"/>
        </w:tabs>
        <w:spacing w:line="360" w:lineRule="auto"/>
        <w:ind w:right="-226"/>
        <w:jc w:val="right"/>
        <w:rPr>
          <w:b/>
          <w:bCs/>
          <w:sz w:val="16"/>
          <w:szCs w:val="16"/>
        </w:rPr>
      </w:pPr>
    </w:p>
    <w:p w:rsidR="00B46E93" w:rsidRDefault="00B46E93" w:rsidP="004419F0">
      <w:pPr>
        <w:tabs>
          <w:tab w:val="left" w:pos="4820"/>
        </w:tabs>
        <w:spacing w:line="360" w:lineRule="auto"/>
        <w:ind w:right="-226"/>
        <w:jc w:val="right"/>
        <w:rPr>
          <w:b/>
          <w:bCs/>
          <w:sz w:val="16"/>
          <w:szCs w:val="16"/>
        </w:rPr>
      </w:pPr>
    </w:p>
    <w:p w:rsidR="00FF22F9" w:rsidRDefault="00FF22F9" w:rsidP="00D47607">
      <w:pPr>
        <w:tabs>
          <w:tab w:val="left" w:pos="4820"/>
        </w:tabs>
        <w:spacing w:line="360" w:lineRule="auto"/>
        <w:ind w:right="-226"/>
        <w:rPr>
          <w:b/>
          <w:bCs/>
          <w:sz w:val="16"/>
          <w:szCs w:val="16"/>
        </w:rPr>
      </w:pPr>
      <w:r w:rsidRPr="00B46E93">
        <w:rPr>
          <w:noProof/>
          <w:shd w:val="clear" w:color="auto" w:fill="FBD4B4" w:themeFill="accent6" w:themeFillTint="66"/>
        </w:rPr>
        <w:drawing>
          <wp:inline distT="0" distB="0" distL="0" distR="0">
            <wp:extent cx="6183086" cy="3537585"/>
            <wp:effectExtent l="0" t="0" r="8255" b="5715"/>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6E93" w:rsidRDefault="00B46E93" w:rsidP="00D47607">
      <w:pPr>
        <w:tabs>
          <w:tab w:val="left" w:pos="4820"/>
        </w:tabs>
        <w:spacing w:line="360" w:lineRule="auto"/>
        <w:ind w:right="-226"/>
        <w:rPr>
          <w:b/>
          <w:bCs/>
          <w:sz w:val="16"/>
          <w:szCs w:val="16"/>
        </w:rPr>
      </w:pPr>
      <w:r>
        <w:rPr>
          <w:b/>
          <w:bCs/>
          <w:sz w:val="16"/>
          <w:szCs w:val="16"/>
        </w:rPr>
        <w:t xml:space="preserve">                                                                                                                                                                                                                                                     Source : HCP</w:t>
      </w:r>
    </w:p>
    <w:p w:rsidR="00FF22F9" w:rsidRDefault="00FF22F9" w:rsidP="004419F0">
      <w:pPr>
        <w:tabs>
          <w:tab w:val="left" w:pos="4820"/>
        </w:tabs>
        <w:spacing w:line="360" w:lineRule="auto"/>
        <w:ind w:right="-226"/>
        <w:jc w:val="right"/>
        <w:rPr>
          <w:b/>
          <w:bCs/>
          <w:sz w:val="16"/>
          <w:szCs w:val="16"/>
        </w:rPr>
      </w:pPr>
    </w:p>
    <w:p w:rsidR="00FF22F9" w:rsidRDefault="00FF22F9" w:rsidP="004419F0">
      <w:pPr>
        <w:tabs>
          <w:tab w:val="left" w:pos="4820"/>
        </w:tabs>
        <w:spacing w:line="360" w:lineRule="auto"/>
        <w:ind w:right="-226"/>
        <w:jc w:val="right"/>
        <w:rPr>
          <w:b/>
          <w:bCs/>
          <w:sz w:val="16"/>
          <w:szCs w:val="16"/>
        </w:rPr>
      </w:pPr>
    </w:p>
    <w:p w:rsidR="00FF22F9" w:rsidRDefault="00FF22F9" w:rsidP="004419F0">
      <w:pPr>
        <w:tabs>
          <w:tab w:val="left" w:pos="4820"/>
        </w:tabs>
        <w:spacing w:line="360" w:lineRule="auto"/>
        <w:ind w:right="-226"/>
        <w:jc w:val="right"/>
        <w:rPr>
          <w:b/>
          <w:bCs/>
          <w:sz w:val="16"/>
          <w:szCs w:val="16"/>
        </w:rPr>
      </w:pPr>
    </w:p>
    <w:p w:rsidR="00FF22F9" w:rsidRDefault="00FF22F9" w:rsidP="004419F0">
      <w:pPr>
        <w:tabs>
          <w:tab w:val="left" w:pos="4820"/>
        </w:tabs>
        <w:spacing w:line="360" w:lineRule="auto"/>
        <w:ind w:right="-226"/>
        <w:jc w:val="right"/>
        <w:rPr>
          <w:b/>
          <w:bCs/>
          <w:sz w:val="16"/>
          <w:szCs w:val="16"/>
        </w:rPr>
      </w:pPr>
    </w:p>
    <w:p w:rsidR="002A3E84" w:rsidRDefault="002A3E84" w:rsidP="002A3E84">
      <w:pPr>
        <w:pStyle w:val="Titre2"/>
        <w:numPr>
          <w:ilvl w:val="0"/>
          <w:numId w:val="7"/>
        </w:numPr>
        <w:rPr>
          <w:rFonts w:asciiTheme="minorHAnsi" w:hAnsiTheme="minorHAnsi"/>
          <w:color w:val="E36C0A" w:themeColor="accent6" w:themeShade="BF"/>
        </w:rPr>
      </w:pPr>
      <w:bookmarkStart w:id="24" w:name="_Toc183085626"/>
      <w:r w:rsidRPr="00A87EFE">
        <w:rPr>
          <w:rFonts w:asciiTheme="minorHAnsi" w:hAnsiTheme="minorHAnsi"/>
          <w:color w:val="E36C0A" w:themeColor="accent6" w:themeShade="BF"/>
        </w:rPr>
        <w:t>Nomenclature</w:t>
      </w:r>
      <w:bookmarkEnd w:id="24"/>
    </w:p>
    <w:p w:rsidR="003D3916" w:rsidRPr="003D3916" w:rsidRDefault="003D3916" w:rsidP="003D3916">
      <w:pPr>
        <w:spacing w:line="240" w:lineRule="auto"/>
        <w:rPr>
          <w:sz w:val="4"/>
          <w:szCs w:val="4"/>
        </w:rPr>
      </w:pPr>
    </w:p>
    <w:p w:rsidR="004419F0" w:rsidRPr="00BC3B89" w:rsidRDefault="004419F0" w:rsidP="004419F0">
      <w:pPr>
        <w:spacing w:after="0"/>
        <w:ind w:left="-567" w:right="-295" w:firstLine="709"/>
        <w:jc w:val="both"/>
        <w:rPr>
          <w:sz w:val="10"/>
          <w:szCs w:val="10"/>
        </w:rPr>
      </w:pPr>
      <w:r>
        <w:t xml:space="preserve">Les biens et services entrants dans le panier de l’indice sont classés dans des catégories similaires selon un système de classification hiérarchique : Divisions/Groupes/Classes/Sections/Produits/Variétés. Cette classification est compatible avec la version la plus récente de la </w:t>
      </w:r>
      <w:r w:rsidRPr="00CE6408">
        <w:rPr>
          <w:color w:val="000000"/>
          <w:spacing w:val="-1"/>
        </w:rPr>
        <w:t>nomenclature des fonctions de la consommation individuelle (COICOP</w:t>
      </w:r>
      <w:r w:rsidRPr="00CE6408">
        <w:rPr>
          <w:rFonts w:eastAsia="Arial Unicode MS"/>
        </w:rPr>
        <w:t>: Classification of IndividualConsumption to Purpose)</w:t>
      </w:r>
      <w:r w:rsidRPr="00CE6408">
        <w:rPr>
          <w:color w:val="000000"/>
          <w:spacing w:val="-1"/>
        </w:rPr>
        <w:t xml:space="preserve"> adoptée par la Commission de Statistique des Nations Unies</w:t>
      </w:r>
      <w:r>
        <w:rPr>
          <w:color w:val="000000"/>
          <w:spacing w:val="-1"/>
        </w:rPr>
        <w:t xml:space="preserve">. Cette </w:t>
      </w:r>
      <w:r w:rsidRPr="00CE6408">
        <w:t xml:space="preserve">nomenclature </w:t>
      </w:r>
      <w:r>
        <w:t xml:space="preserve">est </w:t>
      </w:r>
      <w:r w:rsidRPr="00CE6408">
        <w:t xml:space="preserve"> structurée en 12 divisions, 41 grou</w:t>
      </w:r>
      <w:r>
        <w:t>pes, 88 classes et 112 sections.</w:t>
      </w:r>
    </w:p>
    <w:p w:rsidR="002A3E84" w:rsidRPr="00BC3B89" w:rsidRDefault="002A3E84" w:rsidP="004419F0">
      <w:pPr>
        <w:spacing w:before="120"/>
        <w:ind w:left="-567" w:right="-295" w:firstLine="708"/>
        <w:jc w:val="both"/>
        <w:rPr>
          <w:sz w:val="10"/>
          <w:szCs w:val="10"/>
        </w:rPr>
      </w:pPr>
    </w:p>
    <w:p w:rsidR="002A3E84" w:rsidRPr="00A87EFE" w:rsidRDefault="002A3E84" w:rsidP="00CC34DB">
      <w:pPr>
        <w:pStyle w:val="Titre2"/>
        <w:numPr>
          <w:ilvl w:val="0"/>
          <w:numId w:val="7"/>
        </w:numPr>
        <w:rPr>
          <w:rFonts w:asciiTheme="minorHAnsi" w:hAnsiTheme="minorHAnsi"/>
          <w:color w:val="E36C0A" w:themeColor="accent6" w:themeShade="BF"/>
        </w:rPr>
      </w:pPr>
      <w:bookmarkStart w:id="25" w:name="_Toc183085627"/>
      <w:r w:rsidRPr="00A87EFE">
        <w:rPr>
          <w:rFonts w:asciiTheme="minorHAnsi" w:hAnsiTheme="minorHAnsi"/>
          <w:color w:val="E36C0A" w:themeColor="accent6" w:themeShade="BF"/>
        </w:rPr>
        <w:t>P</w:t>
      </w:r>
      <w:r w:rsidR="00CC34DB">
        <w:rPr>
          <w:rFonts w:asciiTheme="minorHAnsi" w:hAnsiTheme="minorHAnsi"/>
          <w:color w:val="E36C0A" w:themeColor="accent6" w:themeShade="BF"/>
        </w:rPr>
        <w:t>ériodicité</w:t>
      </w:r>
      <w:r w:rsidRPr="00A87EFE">
        <w:rPr>
          <w:rFonts w:asciiTheme="minorHAnsi" w:hAnsiTheme="minorHAnsi"/>
          <w:color w:val="E36C0A" w:themeColor="accent6" w:themeShade="BF"/>
        </w:rPr>
        <w:t xml:space="preserve"> de l’enquête</w:t>
      </w:r>
      <w:bookmarkEnd w:id="25"/>
    </w:p>
    <w:p w:rsidR="002A3E84" w:rsidRPr="00B64BCF" w:rsidRDefault="002A3E84" w:rsidP="002A3E84">
      <w:pPr>
        <w:spacing w:before="120" w:after="120"/>
        <w:ind w:left="-567" w:right="-295" w:firstLine="357"/>
        <w:jc w:val="both"/>
      </w:pPr>
      <w:r w:rsidRPr="00B64BCF">
        <w:rPr>
          <w:color w:val="000000"/>
          <w:spacing w:val="-1"/>
        </w:rPr>
        <w:t>Chaque mois</w:t>
      </w:r>
      <w:r>
        <w:rPr>
          <w:color w:val="000000"/>
          <w:spacing w:val="-1"/>
        </w:rPr>
        <w:t>,</w:t>
      </w:r>
      <w:r w:rsidRPr="00B64BCF">
        <w:rPr>
          <w:color w:val="000000"/>
          <w:spacing w:val="-1"/>
        </w:rPr>
        <w:t xml:space="preserve"> l</w:t>
      </w:r>
      <w:r w:rsidRPr="00B64BCF">
        <w:t>’enquête des prix se déroule par le biais d’</w:t>
      </w:r>
      <w:r>
        <w:t xml:space="preserve">une </w:t>
      </w:r>
      <w:r w:rsidRPr="00B64BCF">
        <w:t>interview direct</w:t>
      </w:r>
      <w:r>
        <w:t>e</w:t>
      </w:r>
      <w:r w:rsidRPr="00B64BCF">
        <w:t xml:space="preserve"> auprès </w:t>
      </w:r>
      <w:r>
        <w:t>des points de vente</w:t>
      </w:r>
      <w:r w:rsidRPr="00B64BCF">
        <w:t xml:space="preserve"> selon un programme établi à l’avance et à des moments bien précis de la journée tout en respectant la description exacte de la variété du produit à observer. </w:t>
      </w:r>
    </w:p>
    <w:p w:rsidR="002A3E84" w:rsidRPr="00B64BCF" w:rsidRDefault="002A3E84" w:rsidP="004419F0">
      <w:pPr>
        <w:spacing w:before="120" w:after="120"/>
        <w:ind w:left="-567" w:right="-295" w:firstLine="357"/>
        <w:jc w:val="both"/>
      </w:pPr>
      <w:r w:rsidRPr="00B64BCF">
        <w:t xml:space="preserve">Ainsi la périodicité d’observation des produits varie selon </w:t>
      </w:r>
      <w:r w:rsidR="004419F0">
        <w:t>leur</w:t>
      </w:r>
      <w:r w:rsidR="004419F0" w:rsidRPr="00B64BCF">
        <w:t xml:space="preserve"> nature et leur importance</w:t>
      </w:r>
      <w:r w:rsidRPr="00B64BCF">
        <w:t xml:space="preserve"> dans les habitudes de consommation de la population. A cet effet, on distingue trois types d’observations :</w:t>
      </w:r>
    </w:p>
    <w:p w:rsidR="002A3E84" w:rsidRPr="00BC7FE8" w:rsidRDefault="002A3E84" w:rsidP="00F449AE">
      <w:pPr>
        <w:pStyle w:val="Paragraphedeliste"/>
        <w:numPr>
          <w:ilvl w:val="0"/>
          <w:numId w:val="9"/>
        </w:numPr>
        <w:spacing w:before="120" w:after="120"/>
        <w:ind w:left="0" w:right="-295" w:hanging="357"/>
        <w:jc w:val="both"/>
        <w:rPr>
          <w:color w:val="000000"/>
          <w:spacing w:val="-1"/>
        </w:rPr>
      </w:pPr>
      <w:r w:rsidRPr="00BC7FE8">
        <w:rPr>
          <w:color w:val="000000"/>
          <w:spacing w:val="-1"/>
        </w:rPr>
        <w:t>Observations hebdomadaires</w:t>
      </w:r>
      <w:r w:rsidR="004419F0">
        <w:rPr>
          <w:color w:val="000000"/>
          <w:spacing w:val="-1"/>
        </w:rPr>
        <w:t xml:space="preserve"> : </w:t>
      </w:r>
      <w:r w:rsidR="005E12ED">
        <w:rPr>
          <w:color w:val="000000"/>
          <w:spacing w:val="-1"/>
        </w:rPr>
        <w:t xml:space="preserve">elles </w:t>
      </w:r>
      <w:r w:rsidR="005E12ED" w:rsidRPr="00BC7FE8">
        <w:rPr>
          <w:color w:val="000000"/>
          <w:spacing w:val="-1"/>
        </w:rPr>
        <w:t>concernent</w:t>
      </w:r>
      <w:r w:rsidRPr="00BC7FE8">
        <w:rPr>
          <w:color w:val="000000"/>
          <w:spacing w:val="-1"/>
        </w:rPr>
        <w:t xml:space="preserve"> les produits alimentaires frais qui sont observés quatre fois par mois, et les produits de l’épicerie une fois par mois au niveau des cinq zones de travail</w:t>
      </w:r>
      <w:r w:rsidR="00F449AE">
        <w:rPr>
          <w:color w:val="000000"/>
          <w:spacing w:val="-1"/>
        </w:rPr>
        <w:t> ;</w:t>
      </w:r>
    </w:p>
    <w:p w:rsidR="002A3E84" w:rsidRPr="00BC7FE8" w:rsidRDefault="002A3E84" w:rsidP="004419F0">
      <w:pPr>
        <w:pStyle w:val="Paragraphedeliste"/>
        <w:numPr>
          <w:ilvl w:val="0"/>
          <w:numId w:val="9"/>
        </w:numPr>
        <w:spacing w:before="120" w:after="120"/>
        <w:ind w:left="0" w:right="-295" w:hanging="357"/>
        <w:jc w:val="both"/>
        <w:rPr>
          <w:color w:val="000000"/>
          <w:spacing w:val="-1"/>
        </w:rPr>
      </w:pPr>
      <w:r w:rsidRPr="00BC7FE8">
        <w:rPr>
          <w:color w:val="000000"/>
          <w:spacing w:val="-1"/>
        </w:rPr>
        <w:t>Observations mensuelles</w:t>
      </w:r>
      <w:r w:rsidR="004419F0">
        <w:rPr>
          <w:color w:val="000000"/>
          <w:spacing w:val="-1"/>
        </w:rPr>
        <w:t> : elles concernent</w:t>
      </w:r>
      <w:r w:rsidRPr="00BC7FE8">
        <w:rPr>
          <w:color w:val="000000"/>
          <w:spacing w:val="-1"/>
        </w:rPr>
        <w:t xml:space="preserve"> les produits alimentaires non frais, les boissons alcoolisées, les articles d’habillement et chaussures, logement, gaz, eau et électricité, les meubles et articles de ménages, la santé, le transport, la communication, loisirs et culture, l’enseignement, les restaurants et hôtels, les biens et services divers. Les produits de ces dix divisions sont observés 1 fois par 2 mois au niveau de deux zones d’une façon alternative, tandis que dans les deux autres zones on reporte les prix du mois précédent. Cette opérati</w:t>
      </w:r>
      <w:r w:rsidR="00F449AE">
        <w:rPr>
          <w:color w:val="000000"/>
          <w:spacing w:val="-1"/>
        </w:rPr>
        <w:t>on est inversée le mois d’après ;</w:t>
      </w:r>
    </w:p>
    <w:p w:rsidR="002A3E84" w:rsidRDefault="002A3E84" w:rsidP="004419F0">
      <w:pPr>
        <w:pStyle w:val="Paragraphedeliste"/>
        <w:numPr>
          <w:ilvl w:val="0"/>
          <w:numId w:val="9"/>
        </w:numPr>
        <w:spacing w:before="120" w:after="120"/>
        <w:ind w:left="0" w:right="-295" w:hanging="426"/>
        <w:jc w:val="both"/>
        <w:rPr>
          <w:color w:val="000000"/>
          <w:spacing w:val="-1"/>
        </w:rPr>
      </w:pPr>
      <w:r w:rsidRPr="00BC7FE8">
        <w:rPr>
          <w:color w:val="000000"/>
          <w:spacing w:val="-1"/>
        </w:rPr>
        <w:t>Observations relatives au loyer : le loyer est un groupe qui fait partie de la division Logement, eau, gaz, électricité et autres combustibles. La taille  de l’échantillon du loyer de l’indice (base 100 : 2017) est  d’environ  456 locataires au niveau des villes de Rabat et Salé (contre 589 logement pour l’indice base 100 : 2006), réparti en 6 sous-échantillons contenant chacun environ 76 logements. L’observation des prix du loyer effectivement payés par les locataires se déroule mensuellement à l’aide d’une interview  directe des ménages en alternance semestrielle (</w:t>
      </w:r>
      <w:r w:rsidR="004419F0">
        <w:rPr>
          <w:color w:val="000000"/>
          <w:spacing w:val="-1"/>
        </w:rPr>
        <w:t>à</w:t>
      </w:r>
      <w:r w:rsidRPr="00BC7FE8">
        <w:rPr>
          <w:color w:val="000000"/>
          <w:spacing w:val="-1"/>
        </w:rPr>
        <w:t xml:space="preserve"> raison d’un lot par mois).</w:t>
      </w:r>
    </w:p>
    <w:p w:rsidR="002A3E84" w:rsidRPr="00A87EFE" w:rsidRDefault="002A3E84" w:rsidP="002A3E84">
      <w:pPr>
        <w:pStyle w:val="Titre2"/>
        <w:numPr>
          <w:ilvl w:val="0"/>
          <w:numId w:val="7"/>
        </w:numPr>
        <w:rPr>
          <w:rFonts w:asciiTheme="minorHAnsi" w:hAnsiTheme="minorHAnsi"/>
          <w:color w:val="E36C0A" w:themeColor="accent6" w:themeShade="BF"/>
        </w:rPr>
      </w:pPr>
      <w:bookmarkStart w:id="26" w:name="_Toc183085628"/>
      <w:r w:rsidRPr="00A87EFE">
        <w:rPr>
          <w:rFonts w:asciiTheme="minorHAnsi" w:hAnsiTheme="minorHAnsi"/>
          <w:color w:val="E36C0A" w:themeColor="accent6" w:themeShade="BF"/>
        </w:rPr>
        <w:t>Zones d’observation</w:t>
      </w:r>
      <w:bookmarkEnd w:id="26"/>
    </w:p>
    <w:p w:rsidR="002A3E84" w:rsidRDefault="002A3E84" w:rsidP="00FB4EA4">
      <w:pPr>
        <w:widowControl w:val="0"/>
        <w:autoSpaceDE w:val="0"/>
        <w:autoSpaceDN w:val="0"/>
        <w:adjustRightInd w:val="0"/>
        <w:spacing w:before="120" w:after="120"/>
        <w:ind w:left="-567" w:right="-295" w:firstLine="567"/>
        <w:jc w:val="both"/>
      </w:pPr>
      <w:r>
        <w:t>L</w:t>
      </w:r>
      <w:r w:rsidRPr="00CE6408">
        <w:t xml:space="preserve">a ville </w:t>
      </w:r>
      <w:r w:rsidRPr="00BC7FE8">
        <w:rPr>
          <w:spacing w:val="-3"/>
          <w:lang w:eastAsia="ar-MA" w:bidi="ar-MA"/>
        </w:rPr>
        <w:t>de Rabat a été répartie en 3 zones et la ville de Salé a été considérée comme  une</w:t>
      </w:r>
      <w:r w:rsidR="00FB4EA4" w:rsidRPr="00BC7FE8">
        <w:rPr>
          <w:spacing w:val="-3"/>
          <w:lang w:eastAsia="ar-MA" w:bidi="ar-MA"/>
        </w:rPr>
        <w:t>4</w:t>
      </w:r>
      <w:r w:rsidR="00FB4EA4" w:rsidRPr="008573B4">
        <w:rPr>
          <w:spacing w:val="-3"/>
          <w:vertAlign w:val="superscript"/>
          <w:lang w:eastAsia="ar-MA" w:bidi="ar-MA"/>
        </w:rPr>
        <w:t>ème</w:t>
      </w:r>
      <w:r w:rsidRPr="00BC7FE8">
        <w:rPr>
          <w:spacing w:val="-3"/>
          <w:lang w:eastAsia="ar-MA" w:bidi="ar-MA"/>
        </w:rPr>
        <w:t>zone, en plus d’une 5</w:t>
      </w:r>
      <w:r w:rsidRPr="00BC7FE8">
        <w:rPr>
          <w:spacing w:val="-3"/>
          <w:vertAlign w:val="superscript"/>
          <w:lang w:eastAsia="ar-MA" w:bidi="ar-MA"/>
        </w:rPr>
        <w:t>ème</w:t>
      </w:r>
      <w:r w:rsidRPr="00BC7FE8">
        <w:rPr>
          <w:spacing w:val="-3"/>
          <w:lang w:eastAsia="ar-MA" w:bidi="ar-MA"/>
        </w:rPr>
        <w:t xml:space="preserve"> zone relative aux grandes surfaces. Le découpage de la ville en zones d’enquête est fait </w:t>
      </w:r>
      <w:r w:rsidRPr="00CE6408">
        <w:t>Sur la base de la dispersion des concentrations des points de vente, de l’hétérogénéité  des quartiers, de la nature des biens et services commercialisés et du type d’activ</w:t>
      </w:r>
      <w:r>
        <w:t xml:space="preserve">ité commerciale. </w:t>
      </w:r>
      <w:r w:rsidRPr="00BC7FE8">
        <w:rPr>
          <w:spacing w:val="-3"/>
          <w:lang w:eastAsia="ar-MA" w:bidi="ar-MA"/>
        </w:rPr>
        <w:t xml:space="preserve">Les 5 zones </w:t>
      </w:r>
      <w:r w:rsidR="00F449AE">
        <w:rPr>
          <w:spacing w:val="-3"/>
          <w:lang w:eastAsia="ar-MA" w:bidi="ar-MA"/>
        </w:rPr>
        <w:t>comprennent les quartiers suivants</w:t>
      </w:r>
      <w:r w:rsidR="00F449AE" w:rsidRPr="00CE6408">
        <w:t> </w:t>
      </w:r>
      <w:r w:rsidRPr="00CE6408">
        <w:t>:</w:t>
      </w:r>
    </w:p>
    <w:p w:rsidR="002A3E84" w:rsidRPr="00C672C0" w:rsidRDefault="002A3E84" w:rsidP="002A3E84">
      <w:pPr>
        <w:widowControl w:val="0"/>
        <w:autoSpaceDE w:val="0"/>
        <w:autoSpaceDN w:val="0"/>
        <w:adjustRightInd w:val="0"/>
        <w:spacing w:before="120" w:after="120" w:line="240" w:lineRule="auto"/>
        <w:ind w:right="-295"/>
        <w:jc w:val="both"/>
        <w:rPr>
          <w:sz w:val="10"/>
          <w:szCs w:val="10"/>
        </w:rPr>
      </w:pPr>
    </w:p>
    <w:p w:rsidR="002A3E84" w:rsidRPr="00C672C0" w:rsidRDefault="002A3E84" w:rsidP="00F449AE">
      <w:pPr>
        <w:spacing w:after="0" w:line="360" w:lineRule="auto"/>
        <w:jc w:val="center"/>
        <w:rPr>
          <w:rFonts w:eastAsiaTheme="majorEastAsia" w:cstheme="majorBidi"/>
          <w:b/>
          <w:bCs/>
          <w:color w:val="E36C0A" w:themeColor="accent6" w:themeShade="BF"/>
        </w:rPr>
      </w:pPr>
      <w:bookmarkStart w:id="27" w:name="_Toc54261204"/>
      <w:r w:rsidRPr="00C672C0">
        <w:rPr>
          <w:rFonts w:eastAsiaTheme="majorEastAsia" w:cstheme="majorBidi"/>
          <w:b/>
          <w:bCs/>
          <w:color w:val="E36C0A" w:themeColor="accent6" w:themeShade="BF"/>
        </w:rPr>
        <w:t xml:space="preserve">Tableau </w:t>
      </w:r>
      <w:r w:rsidR="0060034A">
        <w:rPr>
          <w:rFonts w:eastAsiaTheme="majorEastAsia" w:cstheme="majorBidi"/>
          <w:b/>
          <w:bCs/>
          <w:color w:val="E36C0A" w:themeColor="accent6" w:themeShade="BF"/>
        </w:rPr>
        <w:t>b</w:t>
      </w:r>
      <w:r w:rsidRPr="00C672C0">
        <w:rPr>
          <w:rFonts w:eastAsiaTheme="majorEastAsia" w:cstheme="majorBidi"/>
          <w:b/>
          <w:bCs/>
          <w:color w:val="E36C0A" w:themeColor="accent6" w:themeShade="BF"/>
        </w:rPr>
        <w:t xml:space="preserve"> : </w:t>
      </w:r>
      <w:bookmarkEnd w:id="27"/>
      <w:r w:rsidR="00F449AE" w:rsidRPr="00FB0FDC">
        <w:rPr>
          <w:b/>
          <w:bCs/>
          <w:color w:val="E36C0A" w:themeColor="accent6" w:themeShade="BF"/>
        </w:rPr>
        <w:t>Liste des quartier</w:t>
      </w:r>
      <w:r w:rsidR="00F449AE">
        <w:rPr>
          <w:b/>
          <w:bCs/>
          <w:color w:val="E36C0A" w:themeColor="accent6" w:themeShade="BF"/>
        </w:rPr>
        <w:t>s</w:t>
      </w:r>
      <w:r w:rsidR="00F449AE" w:rsidRPr="00FB0FDC">
        <w:rPr>
          <w:b/>
          <w:bCs/>
          <w:color w:val="E36C0A" w:themeColor="accent6" w:themeShade="BF"/>
        </w:rPr>
        <w:t xml:space="preserve"> de concentrations zones </w:t>
      </w:r>
      <w:r w:rsidR="00F449AE">
        <w:rPr>
          <w:b/>
          <w:bCs/>
          <w:color w:val="E36C0A" w:themeColor="accent6" w:themeShade="BF"/>
        </w:rPr>
        <w:t>de travail</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tblPr>
      <w:tblGrid>
        <w:gridCol w:w="1500"/>
        <w:gridCol w:w="7816"/>
      </w:tblGrid>
      <w:tr w:rsidR="002A3E84" w:rsidRPr="00B525F3" w:rsidTr="002A3E84">
        <w:trPr>
          <w:trHeight w:val="348"/>
          <w:jc w:val="center"/>
        </w:trPr>
        <w:tc>
          <w:tcPr>
            <w:tcW w:w="1500" w:type="dxa"/>
            <w:tcBorders>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ind w:right="-295"/>
              <w:rPr>
                <w:b/>
                <w:bCs/>
              </w:rPr>
            </w:pPr>
            <w:r w:rsidRPr="00B525F3">
              <w:rPr>
                <w:b/>
                <w:bCs/>
              </w:rPr>
              <w:t>Zones</w:t>
            </w:r>
          </w:p>
        </w:tc>
        <w:tc>
          <w:tcPr>
            <w:tcW w:w="7816" w:type="dxa"/>
            <w:tcBorders>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ind w:right="-295"/>
              <w:jc w:val="center"/>
            </w:pPr>
            <w:r w:rsidRPr="00B525F3">
              <w:rPr>
                <w:rFonts w:asciiTheme="majorBidi" w:hAnsiTheme="majorBidi" w:cstheme="majorBidi"/>
                <w:b/>
                <w:bCs/>
              </w:rPr>
              <w:t>Quartiers des concentrations</w:t>
            </w:r>
          </w:p>
        </w:tc>
      </w:tr>
      <w:tr w:rsidR="002A3E84" w:rsidRPr="00B525F3" w:rsidTr="002A3E84">
        <w:trPr>
          <w:jc w:val="center"/>
        </w:trPr>
        <w:tc>
          <w:tcPr>
            <w:tcW w:w="1500" w:type="dxa"/>
            <w:tcBorders>
              <w:top w:val="single" w:sz="4" w:space="0" w:color="auto"/>
            </w:tcBorders>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1</w:t>
            </w:r>
          </w:p>
        </w:tc>
        <w:tc>
          <w:tcPr>
            <w:tcW w:w="7816" w:type="dxa"/>
            <w:tcBorders>
              <w:top w:val="single" w:sz="4" w:space="0" w:color="auto"/>
            </w:tcBorders>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Ancienne Médina,Bab El Had, Océan ,Diour-jamaa, Centre-ville ,Hassan </w:t>
            </w:r>
          </w:p>
        </w:tc>
      </w:tr>
      <w:tr w:rsidR="002A3E84" w:rsidRPr="00B525F3" w:rsidTr="002A3E84">
        <w:trPr>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2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Akkari, Agdal,Yacoub El Mansour </w:t>
            </w:r>
          </w:p>
        </w:tc>
      </w:tr>
      <w:tr w:rsidR="002A3E84" w:rsidRPr="005541AF" w:rsidTr="002A3E84">
        <w:trPr>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3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lang w:val="en-US"/>
              </w:rPr>
            </w:pPr>
            <w:r w:rsidRPr="00B525F3">
              <w:rPr>
                <w:lang w:val="en-US"/>
              </w:rPr>
              <w:t>Youssoufia, Takadoum, Hay Nahda, Hay  Riyad</w:t>
            </w:r>
          </w:p>
        </w:tc>
      </w:tr>
      <w:tr w:rsidR="002A3E84" w:rsidRPr="00B525F3" w:rsidTr="002A3E84">
        <w:trPr>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4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Ancienne médina et les alentours de la ville de  Salé </w:t>
            </w:r>
          </w:p>
        </w:tc>
      </w:tr>
      <w:tr w:rsidR="002A3E84" w:rsidRPr="00B525F3" w:rsidTr="002A3E84">
        <w:trPr>
          <w:trHeight w:val="443"/>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5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Hypermarché Marjane Hay Riyad</w:t>
            </w:r>
          </w:p>
        </w:tc>
      </w:tr>
    </w:tbl>
    <w:p w:rsidR="002A3E84" w:rsidRPr="00594CE5" w:rsidRDefault="002A3E84" w:rsidP="002A3E84">
      <w:pPr>
        <w:tabs>
          <w:tab w:val="left" w:pos="1755"/>
        </w:tabs>
        <w:spacing w:before="120" w:line="240" w:lineRule="auto"/>
        <w:ind w:right="-295" w:firstLine="708"/>
        <w:jc w:val="both"/>
        <w:rPr>
          <w:sz w:val="10"/>
          <w:szCs w:val="10"/>
        </w:rPr>
      </w:pPr>
      <w:r>
        <w:tab/>
      </w:r>
    </w:p>
    <w:p w:rsidR="002A3E84" w:rsidRPr="00A87EFE" w:rsidRDefault="002A3E84" w:rsidP="002A3E84">
      <w:pPr>
        <w:pStyle w:val="Titre2"/>
        <w:numPr>
          <w:ilvl w:val="0"/>
          <w:numId w:val="7"/>
        </w:numPr>
        <w:rPr>
          <w:rFonts w:asciiTheme="minorHAnsi" w:hAnsiTheme="minorHAnsi"/>
          <w:color w:val="E36C0A" w:themeColor="accent6" w:themeShade="BF"/>
        </w:rPr>
      </w:pPr>
      <w:bookmarkStart w:id="28" w:name="_Toc183085629"/>
      <w:r w:rsidRPr="00A87EFE">
        <w:rPr>
          <w:rFonts w:asciiTheme="minorHAnsi" w:hAnsiTheme="minorHAnsi"/>
          <w:color w:val="E36C0A" w:themeColor="accent6" w:themeShade="BF"/>
        </w:rPr>
        <w:lastRenderedPageBreak/>
        <w:t>Points de vente</w:t>
      </w:r>
      <w:bookmarkEnd w:id="28"/>
    </w:p>
    <w:p w:rsidR="002A3E84" w:rsidRDefault="00B46E93" w:rsidP="00F449AE">
      <w:pPr>
        <w:widowControl w:val="0"/>
        <w:autoSpaceDE w:val="0"/>
        <w:autoSpaceDN w:val="0"/>
        <w:adjustRightInd w:val="0"/>
        <w:spacing w:before="120" w:after="120"/>
        <w:ind w:left="-567" w:right="-295" w:firstLine="708"/>
        <w:jc w:val="both"/>
        <w:rPr>
          <w:color w:val="000000"/>
          <w:spacing w:val="-1"/>
        </w:rPr>
      </w:pPr>
      <w:r w:rsidRPr="00B64BCF">
        <w:rPr>
          <w:color w:val="000000"/>
          <w:spacing w:val="-1"/>
        </w:rPr>
        <w:t>Le choix des points de vente</w:t>
      </w:r>
      <w:r w:rsidR="002A3E84">
        <w:rPr>
          <w:color w:val="000000"/>
          <w:spacing w:val="-1"/>
        </w:rPr>
        <w:t>ou point</w:t>
      </w:r>
      <w:r w:rsidR="00F449AE">
        <w:rPr>
          <w:color w:val="000000"/>
          <w:spacing w:val="-1"/>
        </w:rPr>
        <w:t>s</w:t>
      </w:r>
      <w:r>
        <w:rPr>
          <w:color w:val="000000"/>
          <w:spacing w:val="-1"/>
        </w:rPr>
        <w:t xml:space="preserve">d’observation </w:t>
      </w:r>
      <w:r w:rsidRPr="00B64BCF">
        <w:rPr>
          <w:color w:val="000000"/>
          <w:spacing w:val="-1"/>
        </w:rPr>
        <w:t>a été effectué de</w:t>
      </w:r>
      <w:r w:rsidR="002A3E84" w:rsidRPr="00B64BCF">
        <w:rPr>
          <w:color w:val="000000"/>
          <w:spacing w:val="-1"/>
        </w:rPr>
        <w:t xml:space="preserve">  manière  à  assurer  une  bonne  représentativité des produits de consommation</w:t>
      </w:r>
      <w:r w:rsidR="00F449AE">
        <w:rPr>
          <w:color w:val="000000"/>
          <w:spacing w:val="-1"/>
        </w:rPr>
        <w:t xml:space="preserve"> et</w:t>
      </w:r>
      <w:r w:rsidR="002A3E84">
        <w:rPr>
          <w:color w:val="000000"/>
          <w:spacing w:val="-1"/>
        </w:rPr>
        <w:t xml:space="preserve"> aussi une activité intense dans la concentration et continue dans le temps</w:t>
      </w:r>
      <w:r w:rsidR="002A3E84" w:rsidRPr="00B64BCF">
        <w:rPr>
          <w:color w:val="000000"/>
          <w:spacing w:val="-1"/>
        </w:rPr>
        <w:t xml:space="preserve">. </w:t>
      </w:r>
      <w:r w:rsidR="002A3E84">
        <w:rPr>
          <w:color w:val="000000"/>
          <w:spacing w:val="-1"/>
        </w:rPr>
        <w:t xml:space="preserve">Le point de vente peut être un commerçant, </w:t>
      </w:r>
      <w:r>
        <w:rPr>
          <w:color w:val="000000"/>
          <w:spacing w:val="-1"/>
        </w:rPr>
        <w:t>une boutique spécialisée</w:t>
      </w:r>
      <w:r w:rsidR="002A3E84">
        <w:rPr>
          <w:color w:val="000000"/>
          <w:spacing w:val="-1"/>
        </w:rPr>
        <w:t xml:space="preserve">, une entreprise de service, un hypermarché, un magasin </w:t>
      </w:r>
      <w:r w:rsidR="00F449AE">
        <w:rPr>
          <w:color w:val="000000"/>
          <w:spacing w:val="-1"/>
        </w:rPr>
        <w:t>de proximité</w:t>
      </w:r>
      <w:r w:rsidR="002A3E84">
        <w:rPr>
          <w:color w:val="000000"/>
          <w:spacing w:val="-1"/>
        </w:rPr>
        <w:t>, un marché ouvert ou couvert.</w:t>
      </w:r>
      <w:r w:rsidR="002A3E84" w:rsidRPr="00B64BCF">
        <w:rPr>
          <w:color w:val="000000"/>
          <w:spacing w:val="-1"/>
        </w:rPr>
        <w:t xml:space="preserve"> Au niveau de la ville de Rabat le nombre des points de vente </w:t>
      </w:r>
      <w:r w:rsidR="002A3E84">
        <w:rPr>
          <w:color w:val="000000"/>
          <w:spacing w:val="-1"/>
        </w:rPr>
        <w:t xml:space="preserve">de l’indice (base 100 :2017) </w:t>
      </w:r>
      <w:r w:rsidR="002A3E84" w:rsidRPr="00B64BCF">
        <w:rPr>
          <w:color w:val="000000"/>
          <w:spacing w:val="-1"/>
        </w:rPr>
        <w:t xml:space="preserve">s’élève à </w:t>
      </w:r>
      <w:r w:rsidR="002A3E84">
        <w:rPr>
          <w:color w:val="000000"/>
          <w:spacing w:val="-1"/>
        </w:rPr>
        <w:t xml:space="preserve">630 points (contre 480 pour l’indice base 2006) répartis comme suit </w:t>
      </w:r>
      <w:r w:rsidR="002A3E84" w:rsidRPr="00B64BCF">
        <w:rPr>
          <w:color w:val="000000"/>
          <w:spacing w:val="-1"/>
        </w:rPr>
        <w:t>:</w:t>
      </w:r>
    </w:p>
    <w:p w:rsidR="002A3E84" w:rsidRPr="00C672C0" w:rsidRDefault="002A3E84" w:rsidP="0060034A">
      <w:pPr>
        <w:widowControl w:val="0"/>
        <w:autoSpaceDE w:val="0"/>
        <w:autoSpaceDN w:val="0"/>
        <w:adjustRightInd w:val="0"/>
        <w:spacing w:after="0" w:line="360" w:lineRule="auto"/>
        <w:ind w:left="-142" w:right="-295"/>
        <w:jc w:val="center"/>
        <w:rPr>
          <w:rFonts w:eastAsiaTheme="majorEastAsia" w:cstheme="majorBidi"/>
          <w:b/>
          <w:bCs/>
          <w:color w:val="E36C0A" w:themeColor="accent6" w:themeShade="BF"/>
        </w:rPr>
      </w:pPr>
      <w:r w:rsidRPr="00C672C0">
        <w:rPr>
          <w:rFonts w:eastAsiaTheme="majorEastAsia" w:cstheme="majorBidi"/>
          <w:b/>
          <w:bCs/>
          <w:color w:val="E36C0A" w:themeColor="accent6" w:themeShade="BF"/>
        </w:rPr>
        <w:t xml:space="preserve">Tableau </w:t>
      </w:r>
      <w:r w:rsidR="0060034A">
        <w:rPr>
          <w:rFonts w:eastAsiaTheme="majorEastAsia" w:cstheme="majorBidi"/>
          <w:b/>
          <w:bCs/>
          <w:color w:val="E36C0A" w:themeColor="accent6" w:themeShade="BF"/>
        </w:rPr>
        <w:t>c</w:t>
      </w:r>
      <w:r w:rsidRPr="00C672C0">
        <w:rPr>
          <w:rFonts w:eastAsiaTheme="majorEastAsia" w:cstheme="majorBidi"/>
          <w:b/>
          <w:bCs/>
          <w:color w:val="E36C0A" w:themeColor="accent6" w:themeShade="BF"/>
        </w:rPr>
        <w:t> : Nombre de points d’observation par zone </w:t>
      </w:r>
    </w:p>
    <w:tbl>
      <w:tblPr>
        <w:tblStyle w:val="Grilledutableau"/>
        <w:tblW w:w="7938" w:type="dxa"/>
        <w:tblInd w:w="817" w:type="dxa"/>
        <w:tblBorders>
          <w:top w:val="none" w:sz="0" w:space="0" w:color="auto"/>
          <w:left w:val="none" w:sz="0" w:space="0" w:color="auto"/>
          <w:bottom w:val="none" w:sz="0" w:space="0" w:color="auto"/>
          <w:right w:val="none" w:sz="0" w:space="0" w:color="auto"/>
          <w:insideV w:val="none" w:sz="0" w:space="0" w:color="auto"/>
        </w:tblBorders>
        <w:shd w:val="clear" w:color="auto" w:fill="FABF8F" w:themeFill="accent6" w:themeFillTint="99"/>
        <w:tblLook w:val="04A0"/>
      </w:tblPr>
      <w:tblGrid>
        <w:gridCol w:w="3215"/>
        <w:gridCol w:w="696"/>
        <w:gridCol w:w="696"/>
        <w:gridCol w:w="696"/>
        <w:gridCol w:w="696"/>
        <w:gridCol w:w="696"/>
        <w:gridCol w:w="1243"/>
      </w:tblGrid>
      <w:tr w:rsidR="002A3E84" w:rsidRPr="00B525F3" w:rsidTr="002A3E84">
        <w:trPr>
          <w:trHeight w:val="462"/>
        </w:trPr>
        <w:tc>
          <w:tcPr>
            <w:tcW w:w="3215"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left="-249" w:right="-295" w:firstLine="249"/>
              <w:rPr>
                <w:b/>
                <w:bCs/>
                <w:color w:val="000000"/>
                <w:spacing w:val="-1"/>
              </w:rPr>
            </w:pPr>
            <w:r w:rsidRPr="00B525F3">
              <w:rPr>
                <w:b/>
                <w:bCs/>
                <w:color w:val="000000"/>
                <w:spacing w:val="-1"/>
              </w:rPr>
              <w:t>Zone</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Z1</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Z2</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Z3</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Z4</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Z5</w:t>
            </w:r>
          </w:p>
        </w:tc>
        <w:tc>
          <w:tcPr>
            <w:tcW w:w="1243"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Total</w:t>
            </w:r>
          </w:p>
        </w:tc>
      </w:tr>
      <w:tr w:rsidR="002A3E84" w:rsidRPr="00B525F3" w:rsidTr="002A3E84">
        <w:trPr>
          <w:trHeight w:val="422"/>
        </w:trPr>
        <w:tc>
          <w:tcPr>
            <w:tcW w:w="3215"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rPr>
                <w:b/>
                <w:bCs/>
                <w:color w:val="000000"/>
                <w:spacing w:val="-1"/>
              </w:rPr>
            </w:pPr>
            <w:r w:rsidRPr="00B525F3">
              <w:rPr>
                <w:b/>
                <w:bCs/>
                <w:color w:val="000000"/>
                <w:spacing w:val="-1"/>
              </w:rPr>
              <w:t xml:space="preserve">Nombre de points de vente </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193</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166</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140</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130</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w:t>
            </w:r>
          </w:p>
        </w:tc>
        <w:tc>
          <w:tcPr>
            <w:tcW w:w="1243"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630</w:t>
            </w:r>
          </w:p>
        </w:tc>
      </w:tr>
    </w:tbl>
    <w:p w:rsidR="002A3E84" w:rsidRPr="00C672C0" w:rsidRDefault="002A3E84" w:rsidP="002A3E84">
      <w:pPr>
        <w:pStyle w:val="Titre2"/>
        <w:spacing w:line="240" w:lineRule="auto"/>
        <w:rPr>
          <w:rFonts w:asciiTheme="minorHAnsi" w:hAnsiTheme="minorHAnsi"/>
          <w:color w:val="E36C0A" w:themeColor="accent6" w:themeShade="BF"/>
          <w:sz w:val="10"/>
          <w:szCs w:val="10"/>
        </w:rPr>
      </w:pPr>
    </w:p>
    <w:p w:rsidR="002A3E84" w:rsidRPr="00A87EFE" w:rsidRDefault="002A3E84" w:rsidP="002A3E84">
      <w:pPr>
        <w:pStyle w:val="Titre2"/>
        <w:numPr>
          <w:ilvl w:val="0"/>
          <w:numId w:val="7"/>
        </w:numPr>
        <w:rPr>
          <w:rFonts w:asciiTheme="minorHAnsi" w:hAnsiTheme="minorHAnsi"/>
          <w:color w:val="E36C0A" w:themeColor="accent6" w:themeShade="BF"/>
        </w:rPr>
      </w:pPr>
      <w:bookmarkStart w:id="29" w:name="_Toc183085630"/>
      <w:r w:rsidRPr="00A87EFE">
        <w:rPr>
          <w:rFonts w:asciiTheme="minorHAnsi" w:hAnsiTheme="minorHAnsi"/>
          <w:color w:val="E36C0A" w:themeColor="accent6" w:themeShade="BF"/>
        </w:rPr>
        <w:t>Formule de calcul</w:t>
      </w:r>
      <w:bookmarkEnd w:id="29"/>
    </w:p>
    <w:p w:rsidR="002A3E84" w:rsidRPr="00E540C5" w:rsidRDefault="002A3E84" w:rsidP="002A3E84">
      <w:pPr>
        <w:widowControl w:val="0"/>
        <w:autoSpaceDE w:val="0"/>
        <w:autoSpaceDN w:val="0"/>
        <w:adjustRightInd w:val="0"/>
        <w:spacing w:before="120" w:after="120"/>
        <w:ind w:left="-567" w:right="-295" w:firstLine="708"/>
        <w:jc w:val="both"/>
        <w:rPr>
          <w:color w:val="000000"/>
          <w:spacing w:val="-1"/>
        </w:rPr>
      </w:pPr>
      <w:r w:rsidRPr="00CE6408">
        <w:t xml:space="preserve">Le calcul de l’IPC se base sur le rapport entre les prix courants </w:t>
      </w:r>
      <w:r>
        <w:t>(</w:t>
      </w:r>
      <w:r w:rsidRPr="00CE6408">
        <w:t>observés périodiquement</w:t>
      </w:r>
      <w:r>
        <w:t>)</w:t>
      </w:r>
      <w:r w:rsidRPr="00CE6408">
        <w:t xml:space="preserve"> et les prix de base </w:t>
      </w:r>
      <w:r>
        <w:t>(</w:t>
      </w:r>
      <w:r w:rsidRPr="00CE6408">
        <w:t>définis à partir des observations effectuées au</w:t>
      </w:r>
      <w:r>
        <w:t xml:space="preserve"> cours de l’année de base 2017)</w:t>
      </w:r>
      <w:r w:rsidRPr="00CE6408">
        <w:t>. Par convention, on affecte à l’indice de l’année de base la valeur 100 alors que  les indices courants sont rapportés à cette valeur de référence pour avoir l’évolution des prix entre les deux périodes.</w:t>
      </w:r>
    </w:p>
    <w:p w:rsidR="002A3E84" w:rsidRDefault="002A3E84" w:rsidP="002A3E84">
      <w:pPr>
        <w:widowControl w:val="0"/>
        <w:autoSpaceDE w:val="0"/>
        <w:autoSpaceDN w:val="0"/>
        <w:adjustRightInd w:val="0"/>
        <w:spacing w:before="120" w:after="120"/>
        <w:ind w:left="-567" w:right="-295" w:firstLine="708"/>
        <w:jc w:val="both"/>
      </w:pPr>
      <w:r w:rsidRPr="00E540C5">
        <w:rPr>
          <w:color w:val="000000"/>
          <w:spacing w:val="-1"/>
        </w:rPr>
        <w:t xml:space="preserve">La  formule appliquée pour le calcul de l’indice est celle de « Laspeyres  en  chaîne ».Cette formule offre la possibilité d’actualiser le panier des produits et les coefficients de pondération. Elle permet aussi de résoudre le problème induit par les produits saisonniers. </w:t>
      </w:r>
      <w:r w:rsidRPr="00CE6408">
        <w:t>Les indices sont calculés mensuellement au niveau de chaque ville à tous les niveaux de la nomenclature. L’indice national est calculé sur la base des données collectées au niveau  des</w:t>
      </w:r>
      <w:r>
        <w:t xml:space="preserve"> 18</w:t>
      </w:r>
      <w:r w:rsidRPr="00CE6408">
        <w:t xml:space="preserve"> villes.</w:t>
      </w:r>
    </w:p>
    <w:p w:rsidR="00AB4198" w:rsidRDefault="00AB4198" w:rsidP="002A3E84">
      <w:pPr>
        <w:widowControl w:val="0"/>
        <w:autoSpaceDE w:val="0"/>
        <w:autoSpaceDN w:val="0"/>
        <w:adjustRightInd w:val="0"/>
        <w:spacing w:before="120" w:after="120"/>
        <w:ind w:left="-567" w:right="-295" w:firstLine="708"/>
        <w:jc w:val="both"/>
      </w:pPr>
    </w:p>
    <w:p w:rsidR="00AB4198" w:rsidRDefault="00AB4198"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5E12ED" w:rsidRDefault="005E12ED" w:rsidP="002A3E84">
      <w:pPr>
        <w:widowControl w:val="0"/>
        <w:autoSpaceDE w:val="0"/>
        <w:autoSpaceDN w:val="0"/>
        <w:adjustRightInd w:val="0"/>
        <w:spacing w:before="120" w:after="120"/>
        <w:ind w:left="-567" w:right="-295" w:firstLine="708"/>
        <w:jc w:val="both"/>
      </w:pPr>
    </w:p>
    <w:p w:rsidR="00AB4198" w:rsidRDefault="00AB4198" w:rsidP="002A3E84">
      <w:pPr>
        <w:widowControl w:val="0"/>
        <w:autoSpaceDE w:val="0"/>
        <w:autoSpaceDN w:val="0"/>
        <w:adjustRightInd w:val="0"/>
        <w:spacing w:before="120" w:after="120"/>
        <w:ind w:left="-567" w:right="-295" w:firstLine="708"/>
        <w:jc w:val="both"/>
      </w:pPr>
    </w:p>
    <w:p w:rsidR="00B46E93" w:rsidRDefault="00B46E93" w:rsidP="002A3E84">
      <w:pPr>
        <w:widowControl w:val="0"/>
        <w:autoSpaceDE w:val="0"/>
        <w:autoSpaceDN w:val="0"/>
        <w:adjustRightInd w:val="0"/>
        <w:spacing w:before="120" w:after="120"/>
        <w:ind w:left="-567" w:right="-295" w:firstLine="708"/>
        <w:jc w:val="both"/>
      </w:pPr>
    </w:p>
    <w:p w:rsidR="00B46E93" w:rsidRDefault="00B46E93" w:rsidP="002A3E84">
      <w:pPr>
        <w:widowControl w:val="0"/>
        <w:autoSpaceDE w:val="0"/>
        <w:autoSpaceDN w:val="0"/>
        <w:adjustRightInd w:val="0"/>
        <w:spacing w:before="120" w:after="120"/>
        <w:ind w:left="-567" w:right="-295" w:firstLine="708"/>
        <w:jc w:val="both"/>
      </w:pPr>
    </w:p>
    <w:p w:rsidR="0060034A" w:rsidRPr="00A87EFE" w:rsidRDefault="0060034A" w:rsidP="0060034A">
      <w:pPr>
        <w:pStyle w:val="TitreI"/>
        <w:numPr>
          <w:ilvl w:val="0"/>
          <w:numId w:val="17"/>
        </w:numPr>
        <w:rPr>
          <w:rFonts w:asciiTheme="minorHAnsi" w:hAnsiTheme="minorHAnsi"/>
          <w:color w:val="984806" w:themeColor="accent6" w:themeShade="80"/>
        </w:rPr>
      </w:pPr>
      <w:bookmarkStart w:id="30" w:name="_Toc183085631"/>
      <w:r>
        <w:rPr>
          <w:rFonts w:asciiTheme="minorHAnsi" w:hAnsiTheme="minorHAnsi"/>
          <w:color w:val="984806" w:themeColor="accent6" w:themeShade="80"/>
        </w:rPr>
        <w:lastRenderedPageBreak/>
        <w:t>Liste des tableaux</w:t>
      </w:r>
      <w:r w:rsidR="00594CE5">
        <w:rPr>
          <w:rFonts w:asciiTheme="minorHAnsi" w:hAnsiTheme="minorHAnsi"/>
          <w:color w:val="984806" w:themeColor="accent6" w:themeShade="80"/>
        </w:rPr>
        <w:t xml:space="preserve"> annexes</w:t>
      </w:r>
      <w:bookmarkEnd w:id="30"/>
    </w:p>
    <w:p w:rsidR="0060034A" w:rsidRPr="0060034A" w:rsidRDefault="0060034A" w:rsidP="00772ACF">
      <w:pPr>
        <w:jc w:val="center"/>
        <w:rPr>
          <w:b/>
          <w:bCs/>
          <w:color w:val="E36C0A" w:themeColor="accent6" w:themeShade="BF"/>
          <w:sz w:val="16"/>
          <w:szCs w:val="16"/>
        </w:rPr>
      </w:pPr>
    </w:p>
    <w:p w:rsidR="00AD39F6" w:rsidRPr="006666CB" w:rsidRDefault="00AD39F6" w:rsidP="009331DC">
      <w:pPr>
        <w:jc w:val="center"/>
        <w:rPr>
          <w:b/>
          <w:bCs/>
        </w:rPr>
      </w:pPr>
      <w:r w:rsidRPr="006666CB">
        <w:rPr>
          <w:b/>
          <w:bCs/>
          <w:color w:val="E36C0A" w:themeColor="accent6" w:themeShade="BF"/>
        </w:rPr>
        <w:t>Tableau 1 </w:t>
      </w:r>
      <w:r w:rsidRPr="006666CB">
        <w:rPr>
          <w:color w:val="E36C0A" w:themeColor="accent6" w:themeShade="BF"/>
        </w:rPr>
        <w:t xml:space="preserve">: </w:t>
      </w:r>
      <w:r w:rsidRPr="006666CB">
        <w:rPr>
          <w:b/>
          <w:bCs/>
          <w:color w:val="E36C0A" w:themeColor="accent6" w:themeShade="BF"/>
        </w:rPr>
        <w:t xml:space="preserve">Inflation générale par villes en (%) </w:t>
      </w:r>
      <w:r w:rsidR="009331DC">
        <w:rPr>
          <w:b/>
          <w:bCs/>
          <w:color w:val="E36C0A" w:themeColor="accent6" w:themeShade="BF"/>
        </w:rPr>
        <w:t>2021</w:t>
      </w:r>
      <w:r w:rsidRPr="006666CB">
        <w:rPr>
          <w:b/>
          <w:bCs/>
          <w:color w:val="E36C0A" w:themeColor="accent6" w:themeShade="BF"/>
        </w:rPr>
        <w:t>-</w:t>
      </w:r>
      <w:r w:rsidR="009331DC">
        <w:rPr>
          <w:b/>
          <w:bCs/>
          <w:color w:val="E36C0A" w:themeColor="accent6" w:themeShade="BF"/>
        </w:rPr>
        <w:t>2022</w:t>
      </w:r>
    </w:p>
    <w:tbl>
      <w:tblPr>
        <w:tblW w:w="8008" w:type="dxa"/>
        <w:jc w:val="center"/>
        <w:tblLayout w:type="fixed"/>
        <w:tblCellMar>
          <w:left w:w="70" w:type="dxa"/>
          <w:right w:w="70" w:type="dxa"/>
        </w:tblCellMar>
        <w:tblLook w:val="04A0"/>
      </w:tblPr>
      <w:tblGrid>
        <w:gridCol w:w="743"/>
        <w:gridCol w:w="1922"/>
        <w:gridCol w:w="1252"/>
        <w:gridCol w:w="1306"/>
        <w:gridCol w:w="1461"/>
        <w:gridCol w:w="1324"/>
      </w:tblGrid>
      <w:tr w:rsidR="00AD39F6" w:rsidRPr="006666CB" w:rsidTr="006D1A2A">
        <w:trPr>
          <w:trHeight w:val="473"/>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D39F6" w:rsidRPr="006666CB" w:rsidRDefault="00AD39F6" w:rsidP="00735281">
            <w:pPr>
              <w:spacing w:after="0" w:line="240" w:lineRule="auto"/>
              <w:jc w:val="center"/>
              <w:rPr>
                <w:rFonts w:cstheme="majorBidi"/>
                <w:b/>
                <w:bCs/>
              </w:rPr>
            </w:pPr>
            <w:r w:rsidRPr="006666CB">
              <w:rPr>
                <w:rFonts w:cstheme="majorBidi"/>
                <w:b/>
                <w:bCs/>
              </w:rPr>
              <w:t>Code</w:t>
            </w:r>
          </w:p>
        </w:tc>
        <w:tc>
          <w:tcPr>
            <w:tcW w:w="1922"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D39F6" w:rsidRPr="006666CB" w:rsidRDefault="00AD39F6" w:rsidP="00735281">
            <w:pPr>
              <w:spacing w:after="0" w:line="240" w:lineRule="auto"/>
              <w:jc w:val="center"/>
              <w:rPr>
                <w:rFonts w:cstheme="majorBidi"/>
                <w:b/>
                <w:bCs/>
              </w:rPr>
            </w:pPr>
            <w:r w:rsidRPr="006666CB">
              <w:rPr>
                <w:rFonts w:cstheme="majorBidi"/>
                <w:b/>
                <w:bCs/>
              </w:rPr>
              <w:t>Villes</w:t>
            </w:r>
          </w:p>
        </w:tc>
        <w:tc>
          <w:tcPr>
            <w:tcW w:w="2558"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AD39F6" w:rsidRPr="006666CB" w:rsidRDefault="00AD39F6" w:rsidP="00735281">
            <w:pPr>
              <w:spacing w:after="0" w:line="240" w:lineRule="auto"/>
              <w:jc w:val="center"/>
              <w:rPr>
                <w:rFonts w:cstheme="majorBidi"/>
                <w:b/>
                <w:bCs/>
              </w:rPr>
            </w:pPr>
            <w:r w:rsidRPr="006666CB">
              <w:rPr>
                <w:rFonts w:cstheme="majorBidi"/>
                <w:b/>
                <w:bCs/>
              </w:rPr>
              <w:t>Indices moyens annuels</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735281" w:rsidRDefault="00AD39F6" w:rsidP="00735281">
            <w:pPr>
              <w:spacing w:after="0" w:line="240" w:lineRule="auto"/>
              <w:jc w:val="center"/>
              <w:rPr>
                <w:rFonts w:cstheme="majorBidi"/>
                <w:b/>
                <w:bCs/>
              </w:rPr>
            </w:pPr>
            <w:r w:rsidRPr="006666CB">
              <w:rPr>
                <w:rFonts w:cstheme="majorBidi"/>
                <w:b/>
                <w:bCs/>
              </w:rPr>
              <w:t>Inflation générale</w:t>
            </w:r>
          </w:p>
          <w:p w:rsidR="00AD39F6" w:rsidRPr="006666CB" w:rsidRDefault="009331DC" w:rsidP="007B5471">
            <w:pPr>
              <w:spacing w:after="0" w:line="240" w:lineRule="auto"/>
              <w:jc w:val="center"/>
              <w:rPr>
                <w:rFonts w:cstheme="majorBidi"/>
                <w:b/>
                <w:bCs/>
              </w:rPr>
            </w:pPr>
            <w:r>
              <w:rPr>
                <w:rFonts w:cstheme="majorBidi"/>
                <w:b/>
                <w:bCs/>
              </w:rPr>
              <w:t>2021-2022</w:t>
            </w:r>
          </w:p>
        </w:tc>
        <w:tc>
          <w:tcPr>
            <w:tcW w:w="1324" w:type="dxa"/>
            <w:vMerge w:val="restart"/>
            <w:tcBorders>
              <w:top w:val="single" w:sz="4" w:space="0" w:color="auto"/>
              <w:left w:val="single" w:sz="4" w:space="0" w:color="auto"/>
              <w:right w:val="single" w:sz="4" w:space="0" w:color="auto"/>
            </w:tcBorders>
            <w:shd w:val="clear" w:color="000000" w:fill="FAC090"/>
            <w:vAlign w:val="bottom"/>
          </w:tcPr>
          <w:p w:rsidR="00AD39F6" w:rsidRPr="006666CB" w:rsidRDefault="00AD39F6" w:rsidP="00735281">
            <w:pPr>
              <w:spacing w:after="0" w:line="240" w:lineRule="auto"/>
              <w:jc w:val="center"/>
              <w:rPr>
                <w:rFonts w:cstheme="majorBidi"/>
                <w:b/>
                <w:bCs/>
              </w:rPr>
            </w:pPr>
            <w:r w:rsidRPr="006666CB">
              <w:rPr>
                <w:rFonts w:cstheme="majorBidi"/>
                <w:b/>
                <w:bCs/>
              </w:rPr>
              <w:t>Ecart par rapport au National</w:t>
            </w:r>
          </w:p>
        </w:tc>
      </w:tr>
      <w:tr w:rsidR="009331DC" w:rsidRPr="006666CB" w:rsidTr="003C76EE">
        <w:trPr>
          <w:trHeight w:val="433"/>
          <w:jc w:val="center"/>
        </w:trPr>
        <w:tc>
          <w:tcPr>
            <w:tcW w:w="743" w:type="dxa"/>
            <w:vMerge/>
            <w:tcBorders>
              <w:top w:val="single" w:sz="4" w:space="0" w:color="auto"/>
              <w:left w:val="single" w:sz="4" w:space="0" w:color="auto"/>
              <w:bottom w:val="single" w:sz="4" w:space="0" w:color="auto"/>
              <w:right w:val="single" w:sz="4" w:space="0" w:color="auto"/>
            </w:tcBorders>
            <w:vAlign w:val="center"/>
            <w:hideMark/>
          </w:tcPr>
          <w:p w:rsidR="009331DC" w:rsidRPr="006666CB" w:rsidRDefault="009331DC" w:rsidP="009331DC">
            <w:pPr>
              <w:rPr>
                <w:rFonts w:cstheme="majorBidi"/>
                <w:b/>
                <w:bCs/>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9331DC" w:rsidRPr="006666CB" w:rsidRDefault="009331DC" w:rsidP="009331DC">
            <w:pPr>
              <w:rPr>
                <w:rFonts w:cstheme="majorBidi"/>
                <w:b/>
                <w:bCs/>
              </w:rPr>
            </w:pPr>
          </w:p>
        </w:tc>
        <w:tc>
          <w:tcPr>
            <w:tcW w:w="1252" w:type="dxa"/>
            <w:tcBorders>
              <w:top w:val="single" w:sz="4" w:space="0" w:color="auto"/>
              <w:left w:val="nil"/>
              <w:bottom w:val="single" w:sz="4" w:space="0" w:color="auto"/>
              <w:right w:val="single" w:sz="4" w:space="0" w:color="auto"/>
            </w:tcBorders>
            <w:shd w:val="clear" w:color="000000" w:fill="FAC090"/>
            <w:vAlign w:val="center"/>
            <w:hideMark/>
          </w:tcPr>
          <w:p w:rsidR="009331DC" w:rsidRPr="006666CB" w:rsidRDefault="009331DC" w:rsidP="009331DC">
            <w:pPr>
              <w:spacing w:after="0" w:line="240" w:lineRule="auto"/>
              <w:jc w:val="center"/>
              <w:rPr>
                <w:rFonts w:cstheme="majorBidi"/>
                <w:b/>
                <w:bCs/>
              </w:rPr>
            </w:pPr>
            <w:r>
              <w:rPr>
                <w:rFonts w:cstheme="majorBidi"/>
                <w:b/>
                <w:bCs/>
              </w:rPr>
              <w:t>2021</w:t>
            </w:r>
          </w:p>
        </w:tc>
        <w:tc>
          <w:tcPr>
            <w:tcW w:w="1306" w:type="dxa"/>
            <w:tcBorders>
              <w:top w:val="single" w:sz="4" w:space="0" w:color="auto"/>
              <w:left w:val="nil"/>
              <w:bottom w:val="single" w:sz="4" w:space="0" w:color="auto"/>
              <w:right w:val="single" w:sz="4" w:space="0" w:color="auto"/>
            </w:tcBorders>
            <w:shd w:val="clear" w:color="000000" w:fill="FAC090"/>
            <w:vAlign w:val="center"/>
            <w:hideMark/>
          </w:tcPr>
          <w:p w:rsidR="009331DC" w:rsidRPr="006666CB" w:rsidRDefault="009331DC" w:rsidP="009331DC">
            <w:pPr>
              <w:spacing w:after="0" w:line="240" w:lineRule="auto"/>
              <w:jc w:val="center"/>
              <w:rPr>
                <w:rFonts w:cstheme="majorBidi"/>
                <w:b/>
                <w:bCs/>
              </w:rPr>
            </w:pPr>
            <w:r>
              <w:rPr>
                <w:rFonts w:cstheme="majorBidi"/>
                <w:b/>
                <w:bCs/>
              </w:rPr>
              <w:t>2022</w:t>
            </w: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9331DC" w:rsidRPr="006666CB" w:rsidRDefault="009331DC" w:rsidP="009331DC">
            <w:pPr>
              <w:rPr>
                <w:rFonts w:cstheme="majorBidi"/>
                <w:b/>
                <w:bCs/>
              </w:rPr>
            </w:pPr>
          </w:p>
        </w:tc>
        <w:tc>
          <w:tcPr>
            <w:tcW w:w="1324" w:type="dxa"/>
            <w:vMerge/>
            <w:tcBorders>
              <w:left w:val="single" w:sz="4" w:space="0" w:color="auto"/>
              <w:bottom w:val="single" w:sz="4" w:space="0" w:color="auto"/>
              <w:right w:val="single" w:sz="4" w:space="0" w:color="auto"/>
            </w:tcBorders>
          </w:tcPr>
          <w:p w:rsidR="009331DC" w:rsidRPr="006666CB" w:rsidRDefault="009331DC" w:rsidP="009331DC">
            <w:pPr>
              <w:rPr>
                <w:rFonts w:cstheme="majorBidi"/>
                <w:b/>
                <w:bCs/>
              </w:rPr>
            </w:pP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01</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ind w:right="-567"/>
              <w:rPr>
                <w:rFonts w:cstheme="majorBidi"/>
                <w:b/>
                <w:bCs/>
                <w:color w:val="000000"/>
              </w:rPr>
            </w:pPr>
            <w:r w:rsidRPr="006666CB">
              <w:rPr>
                <w:rFonts w:cstheme="majorBidi"/>
                <w:b/>
                <w:bCs/>
                <w:color w:val="000000"/>
              </w:rPr>
              <w:t>AGADIR</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103,8</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109,3</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5,3</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-1,5</w:t>
            </w:r>
          </w:p>
        </w:tc>
      </w:tr>
      <w:tr w:rsidR="009331DC" w:rsidRPr="006666CB" w:rsidTr="00E91B9A">
        <w:trPr>
          <w:trHeight w:val="314"/>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02</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CASA</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104,4</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111,2</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6,5</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0,4</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03</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FES</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104</w:t>
            </w:r>
            <w:r>
              <w:rPr>
                <w:rFonts w:cstheme="majorBidi"/>
                <w:color w:val="000000"/>
              </w:rPr>
              <w:t>,0</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111,2</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6,9</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0,4</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04</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KENITRA</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102,9</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111,1</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8,0</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0,3</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05</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MARRAKECH</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103,9</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111,5</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7,3</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0,7</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06</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OUJDA</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102,8</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109,9</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6,9</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-0,9</w:t>
            </w:r>
          </w:p>
        </w:tc>
      </w:tr>
      <w:tr w:rsidR="009331DC" w:rsidRPr="006666CB" w:rsidTr="00B56283">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b/>
                <w:bCs/>
                <w:color w:val="FF0000"/>
              </w:rPr>
            </w:pPr>
            <w:r w:rsidRPr="006666CB">
              <w:rPr>
                <w:rFonts w:cstheme="majorBidi"/>
                <w:b/>
                <w:bCs/>
                <w:color w:val="FF0000"/>
              </w:rPr>
              <w:t>07</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FF0000"/>
              </w:rPr>
            </w:pPr>
            <w:r w:rsidRPr="006666CB">
              <w:rPr>
                <w:rFonts w:cstheme="majorBidi"/>
                <w:b/>
                <w:bCs/>
                <w:color w:val="FF0000"/>
              </w:rPr>
              <w:t>RABAT</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ascii="Arial" w:hAnsi="Arial" w:cs="Arial"/>
                <w:b/>
                <w:bCs/>
                <w:color w:val="FF0000"/>
                <w:sz w:val="20"/>
                <w:szCs w:val="20"/>
              </w:rPr>
            </w:pPr>
            <w:r w:rsidRPr="00B56283">
              <w:rPr>
                <w:rFonts w:ascii="Arial" w:hAnsi="Arial" w:cs="Arial"/>
                <w:b/>
                <w:bCs/>
                <w:color w:val="FF0000"/>
                <w:sz w:val="20"/>
                <w:szCs w:val="20"/>
              </w:rPr>
              <w:t>103,8</w:t>
            </w:r>
          </w:p>
        </w:tc>
        <w:tc>
          <w:tcPr>
            <w:tcW w:w="1306"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ascii="Arial" w:hAnsi="Arial" w:cs="Arial"/>
                <w:b/>
                <w:bCs/>
                <w:color w:val="FF0000"/>
                <w:sz w:val="20"/>
                <w:szCs w:val="20"/>
              </w:rPr>
            </w:pPr>
            <w:r w:rsidRPr="009331DC">
              <w:rPr>
                <w:rFonts w:ascii="Arial" w:hAnsi="Arial" w:cs="Arial"/>
                <w:b/>
                <w:bCs/>
                <w:color w:val="FF0000"/>
                <w:sz w:val="20"/>
                <w:szCs w:val="20"/>
              </w:rPr>
              <w:t>110,0</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ascii="Arial" w:hAnsi="Arial" w:cs="Arial"/>
                <w:b/>
                <w:bCs/>
                <w:color w:val="FF0000"/>
                <w:sz w:val="20"/>
                <w:szCs w:val="20"/>
              </w:rPr>
            </w:pPr>
            <w:r w:rsidRPr="009331DC">
              <w:rPr>
                <w:rFonts w:ascii="Arial" w:hAnsi="Arial" w:cs="Arial"/>
                <w:b/>
                <w:bCs/>
                <w:color w:val="FF0000"/>
                <w:sz w:val="20"/>
                <w:szCs w:val="20"/>
              </w:rPr>
              <w:t>6,0</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-0,8</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08</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TETOUAN</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102,5</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109,5</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6,8</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-1,3</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09</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MEKNES</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103,6</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110,6</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6,8</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-0,2</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10</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TANGER</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103,7</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110,6</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6,7</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-0,2</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11</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LAAYOUNE</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104,2</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109,8</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5,4</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-1,0</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12</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DAKHLA</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104</w:t>
            </w:r>
            <w:r>
              <w:rPr>
                <w:rFonts w:cstheme="majorBidi"/>
                <w:color w:val="000000"/>
              </w:rPr>
              <w:t>,0</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109,5</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5,3</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-1,3</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13</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GUELMIM</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105,9</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112,0</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5,8</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1,2</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14</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SETTAT</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103,5</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110,3</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6,6</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-0,5</w:t>
            </w:r>
          </w:p>
        </w:tc>
      </w:tr>
      <w:tr w:rsidR="009331DC" w:rsidRPr="006666CB" w:rsidTr="00E91B9A">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15</w:t>
            </w:r>
          </w:p>
        </w:tc>
        <w:tc>
          <w:tcPr>
            <w:tcW w:w="1922" w:type="dxa"/>
            <w:tcBorders>
              <w:top w:val="nil"/>
              <w:left w:val="nil"/>
              <w:bottom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SAFI</w:t>
            </w:r>
          </w:p>
        </w:tc>
        <w:tc>
          <w:tcPr>
            <w:tcW w:w="1252" w:type="dxa"/>
            <w:tcBorders>
              <w:top w:val="nil"/>
              <w:left w:val="nil"/>
              <w:bottom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106,5</w:t>
            </w:r>
          </w:p>
        </w:tc>
        <w:tc>
          <w:tcPr>
            <w:tcW w:w="1306" w:type="dxa"/>
            <w:tcBorders>
              <w:top w:val="nil"/>
              <w:left w:val="nil"/>
              <w:bottom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114,0</w:t>
            </w:r>
          </w:p>
        </w:tc>
        <w:tc>
          <w:tcPr>
            <w:tcW w:w="1461" w:type="dxa"/>
            <w:tcBorders>
              <w:top w:val="nil"/>
              <w:left w:val="nil"/>
              <w:bottom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7,0</w:t>
            </w:r>
          </w:p>
        </w:tc>
        <w:tc>
          <w:tcPr>
            <w:tcW w:w="1324" w:type="dxa"/>
            <w:tcBorders>
              <w:top w:val="nil"/>
              <w:left w:val="nil"/>
              <w:bottom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3,2</w:t>
            </w:r>
          </w:p>
        </w:tc>
      </w:tr>
      <w:tr w:rsidR="009331DC" w:rsidRPr="006666CB" w:rsidTr="00E91B9A">
        <w:trPr>
          <w:trHeight w:val="255"/>
          <w:jc w:val="center"/>
        </w:trPr>
        <w:tc>
          <w:tcPr>
            <w:tcW w:w="743" w:type="dxa"/>
            <w:tcBorders>
              <w:top w:val="nil"/>
              <w:left w:val="single" w:sz="4" w:space="0" w:color="auto"/>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16</w:t>
            </w:r>
          </w:p>
        </w:tc>
        <w:tc>
          <w:tcPr>
            <w:tcW w:w="1922" w:type="dxa"/>
            <w:tcBorders>
              <w:top w:val="nil"/>
              <w:left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BENI MELLAL</w:t>
            </w:r>
          </w:p>
        </w:tc>
        <w:tc>
          <w:tcPr>
            <w:tcW w:w="1252" w:type="dxa"/>
            <w:tcBorders>
              <w:top w:val="nil"/>
              <w:left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104,5</w:t>
            </w:r>
          </w:p>
        </w:tc>
        <w:tc>
          <w:tcPr>
            <w:tcW w:w="1306" w:type="dxa"/>
            <w:tcBorders>
              <w:top w:val="nil"/>
              <w:left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112,9</w:t>
            </w:r>
          </w:p>
        </w:tc>
        <w:tc>
          <w:tcPr>
            <w:tcW w:w="1461" w:type="dxa"/>
            <w:tcBorders>
              <w:top w:val="nil"/>
              <w:left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8,0</w:t>
            </w:r>
          </w:p>
        </w:tc>
        <w:tc>
          <w:tcPr>
            <w:tcW w:w="1324" w:type="dxa"/>
            <w:tcBorders>
              <w:top w:val="nil"/>
              <w:left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2,1</w:t>
            </w:r>
          </w:p>
        </w:tc>
      </w:tr>
      <w:tr w:rsidR="009331DC" w:rsidRPr="006666CB" w:rsidTr="00E91B9A">
        <w:trPr>
          <w:trHeight w:val="255"/>
          <w:jc w:val="center"/>
        </w:trPr>
        <w:tc>
          <w:tcPr>
            <w:tcW w:w="743" w:type="dxa"/>
            <w:tcBorders>
              <w:top w:val="nil"/>
              <w:left w:val="single" w:sz="4" w:space="0" w:color="auto"/>
              <w:right w:val="single" w:sz="4" w:space="0" w:color="auto"/>
            </w:tcBorders>
            <w:shd w:val="clear" w:color="auto" w:fill="auto"/>
            <w:noWrap/>
            <w:vAlign w:val="center"/>
            <w:hideMark/>
          </w:tcPr>
          <w:p w:rsidR="009331DC" w:rsidRPr="006666CB" w:rsidRDefault="009331DC" w:rsidP="009331DC">
            <w:pPr>
              <w:jc w:val="center"/>
              <w:rPr>
                <w:rFonts w:cstheme="majorBidi"/>
                <w:color w:val="000000"/>
              </w:rPr>
            </w:pPr>
            <w:r w:rsidRPr="006666CB">
              <w:rPr>
                <w:rFonts w:cstheme="majorBidi"/>
                <w:color w:val="000000"/>
              </w:rPr>
              <w:t>17</w:t>
            </w:r>
          </w:p>
        </w:tc>
        <w:tc>
          <w:tcPr>
            <w:tcW w:w="1922" w:type="dxa"/>
            <w:tcBorders>
              <w:top w:val="nil"/>
              <w:left w:val="nil"/>
              <w:right w:val="single" w:sz="4" w:space="0" w:color="auto"/>
            </w:tcBorders>
            <w:shd w:val="clear" w:color="auto" w:fill="auto"/>
            <w:noWrap/>
            <w:vAlign w:val="center"/>
            <w:hideMark/>
          </w:tcPr>
          <w:p w:rsidR="009331DC" w:rsidRPr="006666CB" w:rsidRDefault="009331DC" w:rsidP="009331DC">
            <w:pPr>
              <w:rPr>
                <w:rFonts w:cstheme="majorBidi"/>
                <w:b/>
                <w:bCs/>
                <w:color w:val="000000"/>
              </w:rPr>
            </w:pPr>
            <w:r w:rsidRPr="006666CB">
              <w:rPr>
                <w:rFonts w:cstheme="majorBidi"/>
                <w:b/>
                <w:bCs/>
                <w:color w:val="000000"/>
              </w:rPr>
              <w:t xml:space="preserve">EL </w:t>
            </w:r>
            <w:r w:rsidRPr="00E415B5">
              <w:rPr>
                <w:rFonts w:cstheme="majorBidi"/>
                <w:b/>
                <w:bCs/>
                <w:color w:val="000000"/>
              </w:rPr>
              <w:t>Hoceima</w:t>
            </w:r>
          </w:p>
        </w:tc>
        <w:tc>
          <w:tcPr>
            <w:tcW w:w="1252" w:type="dxa"/>
            <w:tcBorders>
              <w:top w:val="nil"/>
              <w:left w:val="nil"/>
              <w:right w:val="single" w:sz="4" w:space="0" w:color="auto"/>
            </w:tcBorders>
            <w:shd w:val="clear" w:color="auto" w:fill="auto"/>
            <w:noWrap/>
            <w:vAlign w:val="center"/>
            <w:hideMark/>
          </w:tcPr>
          <w:p w:rsidR="009331DC" w:rsidRPr="00B56283" w:rsidRDefault="009331DC" w:rsidP="009331DC">
            <w:pPr>
              <w:jc w:val="center"/>
              <w:rPr>
                <w:rFonts w:cstheme="majorBidi"/>
                <w:color w:val="000000"/>
              </w:rPr>
            </w:pPr>
            <w:r w:rsidRPr="00B56283">
              <w:rPr>
                <w:rFonts w:cstheme="majorBidi"/>
                <w:color w:val="000000"/>
              </w:rPr>
              <w:t>103,5</w:t>
            </w:r>
          </w:p>
        </w:tc>
        <w:tc>
          <w:tcPr>
            <w:tcW w:w="1306" w:type="dxa"/>
            <w:tcBorders>
              <w:top w:val="nil"/>
              <w:left w:val="nil"/>
              <w:right w:val="single" w:sz="4" w:space="0" w:color="auto"/>
            </w:tcBorders>
            <w:shd w:val="clear" w:color="auto" w:fill="auto"/>
            <w:noWrap/>
            <w:vAlign w:val="bottom"/>
            <w:hideMark/>
          </w:tcPr>
          <w:p w:rsidR="009331DC" w:rsidRPr="009331DC" w:rsidRDefault="009331DC" w:rsidP="009331DC">
            <w:pPr>
              <w:jc w:val="center"/>
              <w:rPr>
                <w:rFonts w:cstheme="majorBidi"/>
                <w:color w:val="000000"/>
              </w:rPr>
            </w:pPr>
            <w:r w:rsidRPr="009331DC">
              <w:rPr>
                <w:rFonts w:cstheme="majorBidi"/>
                <w:color w:val="000000"/>
              </w:rPr>
              <w:t>112,2</w:t>
            </w:r>
          </w:p>
        </w:tc>
        <w:tc>
          <w:tcPr>
            <w:tcW w:w="1461" w:type="dxa"/>
            <w:tcBorders>
              <w:top w:val="nil"/>
              <w:left w:val="nil"/>
              <w:right w:val="single" w:sz="4" w:space="0" w:color="auto"/>
            </w:tcBorders>
            <w:shd w:val="clear" w:color="auto" w:fill="auto"/>
            <w:noWrap/>
            <w:vAlign w:val="center"/>
            <w:hideMark/>
          </w:tcPr>
          <w:p w:rsidR="009331DC" w:rsidRPr="009331DC" w:rsidRDefault="009331DC" w:rsidP="009331DC">
            <w:pPr>
              <w:jc w:val="center"/>
              <w:rPr>
                <w:rFonts w:cstheme="majorBidi"/>
                <w:color w:val="000000"/>
              </w:rPr>
            </w:pPr>
            <w:r w:rsidRPr="009331DC">
              <w:rPr>
                <w:rFonts w:cstheme="majorBidi"/>
                <w:color w:val="000000"/>
              </w:rPr>
              <w:t>8,4</w:t>
            </w:r>
          </w:p>
        </w:tc>
        <w:tc>
          <w:tcPr>
            <w:tcW w:w="1324" w:type="dxa"/>
            <w:tcBorders>
              <w:top w:val="nil"/>
              <w:left w:val="nil"/>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1,4</w:t>
            </w:r>
          </w:p>
        </w:tc>
      </w:tr>
      <w:tr w:rsidR="009331DC" w:rsidRPr="006666CB" w:rsidTr="00B51E9A">
        <w:trPr>
          <w:trHeight w:val="255"/>
          <w:jc w:val="center"/>
        </w:trPr>
        <w:tc>
          <w:tcPr>
            <w:tcW w:w="743" w:type="dxa"/>
            <w:tcBorders>
              <w:left w:val="single" w:sz="4" w:space="0" w:color="auto"/>
              <w:bottom w:val="single" w:sz="4" w:space="0" w:color="auto"/>
              <w:right w:val="single" w:sz="4" w:space="0" w:color="auto"/>
            </w:tcBorders>
            <w:shd w:val="clear" w:color="auto" w:fill="auto"/>
            <w:noWrap/>
            <w:vAlign w:val="center"/>
          </w:tcPr>
          <w:p w:rsidR="009331DC" w:rsidRPr="006666CB" w:rsidRDefault="009331DC" w:rsidP="009331DC">
            <w:pPr>
              <w:jc w:val="center"/>
              <w:rPr>
                <w:rFonts w:cstheme="majorBidi"/>
                <w:color w:val="000000"/>
              </w:rPr>
            </w:pPr>
            <w:r>
              <w:rPr>
                <w:rFonts w:cstheme="majorBidi"/>
                <w:color w:val="000000"/>
              </w:rPr>
              <w:t>18</w:t>
            </w:r>
          </w:p>
        </w:tc>
        <w:tc>
          <w:tcPr>
            <w:tcW w:w="1922" w:type="dxa"/>
            <w:tcBorders>
              <w:left w:val="nil"/>
              <w:bottom w:val="single" w:sz="4" w:space="0" w:color="auto"/>
              <w:right w:val="single" w:sz="4" w:space="0" w:color="auto"/>
            </w:tcBorders>
            <w:shd w:val="clear" w:color="auto" w:fill="auto"/>
            <w:noWrap/>
            <w:vAlign w:val="center"/>
          </w:tcPr>
          <w:p w:rsidR="009331DC" w:rsidRPr="006666CB" w:rsidRDefault="009331DC" w:rsidP="009331DC">
            <w:pPr>
              <w:rPr>
                <w:rFonts w:cstheme="majorBidi"/>
                <w:b/>
                <w:bCs/>
                <w:color w:val="000000"/>
              </w:rPr>
            </w:pPr>
            <w:r>
              <w:rPr>
                <w:rFonts w:cstheme="majorBidi"/>
                <w:b/>
                <w:bCs/>
                <w:color w:val="000000"/>
              </w:rPr>
              <w:t>Errachidia</w:t>
            </w:r>
          </w:p>
        </w:tc>
        <w:tc>
          <w:tcPr>
            <w:tcW w:w="1252" w:type="dxa"/>
            <w:tcBorders>
              <w:left w:val="nil"/>
              <w:bottom w:val="single" w:sz="4" w:space="0" w:color="auto"/>
              <w:right w:val="single" w:sz="4" w:space="0" w:color="auto"/>
            </w:tcBorders>
            <w:shd w:val="clear" w:color="auto" w:fill="auto"/>
            <w:noWrap/>
            <w:vAlign w:val="center"/>
          </w:tcPr>
          <w:p w:rsidR="009331DC" w:rsidRPr="00B56283" w:rsidRDefault="009331DC" w:rsidP="009331DC">
            <w:pPr>
              <w:jc w:val="center"/>
              <w:rPr>
                <w:rFonts w:cstheme="majorBidi"/>
                <w:color w:val="000000"/>
              </w:rPr>
            </w:pPr>
            <w:r w:rsidRPr="00B56283">
              <w:rPr>
                <w:rFonts w:cstheme="majorBidi"/>
                <w:color w:val="000000"/>
              </w:rPr>
              <w:t>103</w:t>
            </w:r>
            <w:r>
              <w:rPr>
                <w:rFonts w:cstheme="majorBidi"/>
                <w:color w:val="000000"/>
              </w:rPr>
              <w:t> ,0</w:t>
            </w:r>
          </w:p>
        </w:tc>
        <w:tc>
          <w:tcPr>
            <w:tcW w:w="1306" w:type="dxa"/>
            <w:tcBorders>
              <w:left w:val="nil"/>
              <w:bottom w:val="single" w:sz="4" w:space="0" w:color="auto"/>
              <w:right w:val="single" w:sz="4" w:space="0" w:color="auto"/>
            </w:tcBorders>
            <w:shd w:val="clear" w:color="auto" w:fill="auto"/>
            <w:noWrap/>
            <w:vAlign w:val="bottom"/>
          </w:tcPr>
          <w:p w:rsidR="009331DC" w:rsidRPr="009331DC" w:rsidRDefault="009331DC" w:rsidP="009331DC">
            <w:pPr>
              <w:jc w:val="center"/>
              <w:rPr>
                <w:rFonts w:cstheme="majorBidi"/>
                <w:color w:val="000000"/>
              </w:rPr>
            </w:pPr>
            <w:r w:rsidRPr="009331DC">
              <w:rPr>
                <w:rFonts w:cstheme="majorBidi"/>
                <w:color w:val="000000"/>
              </w:rPr>
              <w:t>110,8</w:t>
            </w:r>
          </w:p>
        </w:tc>
        <w:tc>
          <w:tcPr>
            <w:tcW w:w="1461" w:type="dxa"/>
            <w:tcBorders>
              <w:left w:val="nil"/>
              <w:bottom w:val="single" w:sz="4" w:space="0" w:color="auto"/>
              <w:right w:val="single" w:sz="4" w:space="0" w:color="auto"/>
            </w:tcBorders>
            <w:shd w:val="clear" w:color="auto" w:fill="auto"/>
            <w:noWrap/>
            <w:vAlign w:val="center"/>
          </w:tcPr>
          <w:p w:rsidR="009331DC" w:rsidRPr="009331DC" w:rsidRDefault="009331DC" w:rsidP="009331DC">
            <w:pPr>
              <w:jc w:val="center"/>
              <w:rPr>
                <w:rFonts w:cstheme="majorBidi"/>
                <w:color w:val="000000"/>
              </w:rPr>
            </w:pPr>
            <w:r w:rsidRPr="009331DC">
              <w:rPr>
                <w:rFonts w:cstheme="majorBidi"/>
                <w:color w:val="000000"/>
              </w:rPr>
              <w:t>7,6</w:t>
            </w:r>
          </w:p>
        </w:tc>
        <w:tc>
          <w:tcPr>
            <w:tcW w:w="1324" w:type="dxa"/>
            <w:tcBorders>
              <w:left w:val="nil"/>
              <w:bottom w:val="single" w:sz="4" w:space="0" w:color="auto"/>
              <w:right w:val="single" w:sz="4" w:space="0" w:color="auto"/>
            </w:tcBorders>
            <w:vAlign w:val="bottom"/>
          </w:tcPr>
          <w:p w:rsidR="009331DC" w:rsidRPr="009331DC" w:rsidRDefault="009331DC" w:rsidP="009331DC">
            <w:pPr>
              <w:jc w:val="center"/>
              <w:rPr>
                <w:rFonts w:cstheme="majorBidi"/>
                <w:color w:val="000000"/>
              </w:rPr>
            </w:pPr>
            <w:r w:rsidRPr="009331DC">
              <w:rPr>
                <w:rFonts w:cstheme="majorBidi"/>
                <w:color w:val="000000"/>
              </w:rPr>
              <w:t>0,0</w:t>
            </w:r>
          </w:p>
        </w:tc>
      </w:tr>
      <w:tr w:rsidR="009331DC" w:rsidRPr="006666CB" w:rsidTr="00B56283">
        <w:trPr>
          <w:trHeight w:val="345"/>
          <w:jc w:val="center"/>
        </w:trPr>
        <w:tc>
          <w:tcPr>
            <w:tcW w:w="743" w:type="dxa"/>
            <w:tcBorders>
              <w:top w:val="nil"/>
              <w:left w:val="single" w:sz="4" w:space="0" w:color="auto"/>
              <w:bottom w:val="single" w:sz="4" w:space="0" w:color="auto"/>
              <w:right w:val="nil"/>
            </w:tcBorders>
            <w:shd w:val="clear" w:color="000000" w:fill="FAC090"/>
            <w:noWrap/>
            <w:vAlign w:val="center"/>
            <w:hideMark/>
          </w:tcPr>
          <w:p w:rsidR="009331DC" w:rsidRPr="006666CB" w:rsidRDefault="009331DC" w:rsidP="009331DC">
            <w:pPr>
              <w:spacing w:after="0"/>
              <w:jc w:val="center"/>
              <w:rPr>
                <w:rFonts w:cstheme="majorBidi"/>
                <w:b/>
                <w:bCs/>
              </w:rPr>
            </w:pPr>
            <w:r w:rsidRPr="006666CB">
              <w:rPr>
                <w:rFonts w:cstheme="majorBidi"/>
                <w:b/>
                <w:bCs/>
              </w:rPr>
              <w:t>99</w:t>
            </w:r>
          </w:p>
        </w:tc>
        <w:tc>
          <w:tcPr>
            <w:tcW w:w="1922" w:type="dxa"/>
            <w:tcBorders>
              <w:top w:val="nil"/>
              <w:left w:val="single" w:sz="4" w:space="0" w:color="auto"/>
              <w:bottom w:val="single" w:sz="4" w:space="0" w:color="auto"/>
              <w:right w:val="nil"/>
            </w:tcBorders>
            <w:shd w:val="clear" w:color="000000" w:fill="FAC090"/>
            <w:noWrap/>
            <w:vAlign w:val="center"/>
            <w:hideMark/>
          </w:tcPr>
          <w:p w:rsidR="009331DC" w:rsidRPr="006666CB" w:rsidRDefault="009331DC" w:rsidP="009331DC">
            <w:pPr>
              <w:spacing w:after="0"/>
              <w:rPr>
                <w:rFonts w:cstheme="majorBidi"/>
                <w:b/>
                <w:bCs/>
              </w:rPr>
            </w:pPr>
            <w:r w:rsidRPr="006666CB">
              <w:rPr>
                <w:rFonts w:cstheme="majorBidi"/>
                <w:b/>
                <w:bCs/>
              </w:rPr>
              <w:t>National</w:t>
            </w:r>
          </w:p>
        </w:tc>
        <w:tc>
          <w:tcPr>
            <w:tcW w:w="1252" w:type="dxa"/>
            <w:tcBorders>
              <w:top w:val="nil"/>
              <w:left w:val="single" w:sz="4" w:space="0" w:color="auto"/>
              <w:bottom w:val="single" w:sz="4" w:space="0" w:color="auto"/>
              <w:right w:val="single" w:sz="4" w:space="0" w:color="auto"/>
            </w:tcBorders>
            <w:shd w:val="clear" w:color="000000" w:fill="FAC090"/>
            <w:noWrap/>
            <w:vAlign w:val="center"/>
            <w:hideMark/>
          </w:tcPr>
          <w:p w:rsidR="009331DC" w:rsidRPr="00B56283" w:rsidRDefault="009331DC" w:rsidP="009331DC">
            <w:pPr>
              <w:spacing w:after="0"/>
              <w:jc w:val="center"/>
              <w:rPr>
                <w:rFonts w:cstheme="majorBidi"/>
                <w:b/>
                <w:bCs/>
                <w:color w:val="000000"/>
              </w:rPr>
            </w:pPr>
            <w:r w:rsidRPr="00B56283">
              <w:rPr>
                <w:rFonts w:cstheme="majorBidi"/>
                <w:b/>
                <w:bCs/>
                <w:color w:val="000000"/>
              </w:rPr>
              <w:t>103,9</w:t>
            </w:r>
          </w:p>
        </w:tc>
        <w:tc>
          <w:tcPr>
            <w:tcW w:w="1306" w:type="dxa"/>
            <w:tcBorders>
              <w:top w:val="nil"/>
              <w:left w:val="nil"/>
              <w:bottom w:val="single" w:sz="4" w:space="0" w:color="auto"/>
              <w:right w:val="single" w:sz="4" w:space="0" w:color="auto"/>
            </w:tcBorders>
            <w:shd w:val="clear" w:color="000000" w:fill="FAC090"/>
            <w:noWrap/>
            <w:vAlign w:val="center"/>
            <w:hideMark/>
          </w:tcPr>
          <w:p w:rsidR="009331DC" w:rsidRDefault="009331DC" w:rsidP="009331DC">
            <w:pPr>
              <w:spacing w:after="0"/>
              <w:jc w:val="center"/>
              <w:rPr>
                <w:rFonts w:ascii="Arial" w:hAnsi="Arial" w:cs="Arial"/>
                <w:b/>
                <w:bCs/>
                <w:color w:val="000000"/>
                <w:sz w:val="20"/>
                <w:szCs w:val="20"/>
              </w:rPr>
            </w:pPr>
            <w:r w:rsidRPr="009331DC">
              <w:rPr>
                <w:rFonts w:cstheme="majorBidi"/>
                <w:b/>
                <w:bCs/>
                <w:color w:val="000000"/>
              </w:rPr>
              <w:t>110,8</w:t>
            </w:r>
          </w:p>
        </w:tc>
        <w:tc>
          <w:tcPr>
            <w:tcW w:w="1461" w:type="dxa"/>
            <w:tcBorders>
              <w:top w:val="nil"/>
              <w:left w:val="nil"/>
              <w:bottom w:val="single" w:sz="4" w:space="0" w:color="auto"/>
              <w:right w:val="single" w:sz="4" w:space="0" w:color="auto"/>
            </w:tcBorders>
            <w:shd w:val="clear" w:color="000000" w:fill="FAC090"/>
            <w:noWrap/>
            <w:vAlign w:val="center"/>
            <w:hideMark/>
          </w:tcPr>
          <w:p w:rsidR="009331DC" w:rsidRPr="009331DC" w:rsidRDefault="009331DC" w:rsidP="009331DC">
            <w:pPr>
              <w:spacing w:after="0"/>
              <w:jc w:val="center"/>
              <w:rPr>
                <w:rFonts w:cstheme="majorBidi"/>
                <w:b/>
                <w:bCs/>
                <w:color w:val="000000"/>
              </w:rPr>
            </w:pPr>
            <w:r w:rsidRPr="009331DC">
              <w:rPr>
                <w:rFonts w:cstheme="majorBidi"/>
                <w:b/>
                <w:bCs/>
                <w:color w:val="000000"/>
              </w:rPr>
              <w:t>6,6</w:t>
            </w:r>
          </w:p>
        </w:tc>
        <w:tc>
          <w:tcPr>
            <w:tcW w:w="1324" w:type="dxa"/>
            <w:tcBorders>
              <w:top w:val="nil"/>
              <w:left w:val="nil"/>
              <w:bottom w:val="single" w:sz="4" w:space="0" w:color="auto"/>
              <w:right w:val="single" w:sz="4" w:space="0" w:color="auto"/>
            </w:tcBorders>
            <w:shd w:val="clear" w:color="000000" w:fill="FAC090"/>
            <w:vAlign w:val="center"/>
          </w:tcPr>
          <w:p w:rsidR="009331DC" w:rsidRPr="006666CB" w:rsidRDefault="009331DC" w:rsidP="009331DC">
            <w:pPr>
              <w:spacing w:after="0"/>
              <w:jc w:val="center"/>
              <w:rPr>
                <w:rFonts w:cstheme="majorBidi"/>
                <w:color w:val="000000"/>
              </w:rPr>
            </w:pPr>
            <w:r w:rsidRPr="006666CB">
              <w:rPr>
                <w:rFonts w:cstheme="majorBidi"/>
                <w:color w:val="000000"/>
              </w:rPr>
              <w:t>----</w:t>
            </w:r>
          </w:p>
        </w:tc>
      </w:tr>
    </w:tbl>
    <w:p w:rsidR="004B1065" w:rsidRPr="00CC34DB" w:rsidRDefault="00CC34DB" w:rsidP="00B56283">
      <w:pPr>
        <w:jc w:val="center"/>
        <w:rPr>
          <w:b/>
          <w:bCs/>
          <w:sz w:val="16"/>
          <w:szCs w:val="16"/>
        </w:rPr>
      </w:pPr>
      <w:r w:rsidRPr="00CC34DB">
        <w:rPr>
          <w:b/>
          <w:bCs/>
          <w:sz w:val="16"/>
          <w:szCs w:val="16"/>
        </w:rPr>
        <w:t>Source : H</w:t>
      </w:r>
      <w:r>
        <w:rPr>
          <w:b/>
          <w:bCs/>
          <w:sz w:val="16"/>
          <w:szCs w:val="16"/>
        </w:rPr>
        <w:t>CP</w:t>
      </w:r>
    </w:p>
    <w:p w:rsidR="00772ACF" w:rsidRDefault="00772ACF" w:rsidP="00AD39F6">
      <w:pPr>
        <w:jc w:val="center"/>
      </w:pPr>
    </w:p>
    <w:p w:rsidR="00772ACF" w:rsidRDefault="00772ACF" w:rsidP="00AD39F6">
      <w:pPr>
        <w:jc w:val="center"/>
      </w:pPr>
    </w:p>
    <w:p w:rsidR="00772ACF" w:rsidRDefault="00772ACF" w:rsidP="00AD39F6">
      <w:pPr>
        <w:jc w:val="center"/>
      </w:pPr>
    </w:p>
    <w:p w:rsidR="00772ACF" w:rsidRDefault="00772ACF" w:rsidP="00AD39F6">
      <w:pPr>
        <w:jc w:val="center"/>
      </w:pPr>
    </w:p>
    <w:p w:rsidR="00772ACF" w:rsidRDefault="00772ACF" w:rsidP="00AD39F6">
      <w:pPr>
        <w:jc w:val="center"/>
      </w:pPr>
    </w:p>
    <w:p w:rsidR="00C132EC" w:rsidRPr="009C573C" w:rsidRDefault="00C132EC" w:rsidP="00C132EC">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C132EC" w:rsidRPr="009C573C" w:rsidRDefault="00C132EC" w:rsidP="00C132EC">
      <w:pPr>
        <w:spacing w:after="0"/>
        <w:jc w:val="center"/>
        <w:rPr>
          <w:b/>
          <w:bCs/>
          <w:color w:val="E36C0A" w:themeColor="accent6" w:themeShade="BF"/>
        </w:rPr>
      </w:pPr>
      <w:r w:rsidRPr="009C573C">
        <w:rPr>
          <w:b/>
          <w:bCs/>
          <w:color w:val="E36C0A" w:themeColor="accent6" w:themeShade="BF"/>
        </w:rPr>
        <w:t xml:space="preserve">Ville de Rabat </w:t>
      </w:r>
    </w:p>
    <w:tbl>
      <w:tblPr>
        <w:tblW w:w="11408" w:type="dxa"/>
        <w:tblInd w:w="-923" w:type="dxa"/>
        <w:tblCellMar>
          <w:left w:w="70" w:type="dxa"/>
          <w:right w:w="70" w:type="dxa"/>
        </w:tblCellMar>
        <w:tblLook w:val="04A0"/>
      </w:tblPr>
      <w:tblGrid>
        <w:gridCol w:w="6609"/>
        <w:gridCol w:w="1174"/>
        <w:gridCol w:w="1174"/>
        <w:gridCol w:w="1187"/>
        <w:gridCol w:w="1264"/>
      </w:tblGrid>
      <w:tr w:rsidR="00386743" w:rsidRPr="009C573C" w:rsidTr="0045122F">
        <w:trPr>
          <w:trHeight w:val="500"/>
        </w:trPr>
        <w:tc>
          <w:tcPr>
            <w:tcW w:w="6737" w:type="dxa"/>
            <w:tcBorders>
              <w:top w:val="single" w:sz="4" w:space="0" w:color="auto"/>
              <w:left w:val="single" w:sz="4" w:space="0" w:color="auto"/>
              <w:bottom w:val="single" w:sz="4" w:space="0" w:color="auto"/>
            </w:tcBorders>
            <w:shd w:val="clear" w:color="auto" w:fill="F79646" w:themeFill="accent6"/>
            <w:vAlign w:val="center"/>
            <w:hideMark/>
          </w:tcPr>
          <w:p w:rsidR="00386743" w:rsidRPr="009C573C" w:rsidRDefault="00386743" w:rsidP="00386743">
            <w:pPr>
              <w:spacing w:after="0" w:line="240" w:lineRule="auto"/>
              <w:rPr>
                <w:rFonts w:cs="Arial"/>
                <w:b/>
                <w:bCs/>
              </w:rPr>
            </w:pPr>
            <w:r w:rsidRPr="009C573C">
              <w:rPr>
                <w:rFonts w:cs="Arial"/>
                <w:b/>
                <w:bCs/>
              </w:rPr>
              <w:t>DIVISIONS, GROUPES ET CLASSES</w:t>
            </w:r>
          </w:p>
        </w:tc>
        <w:tc>
          <w:tcPr>
            <w:tcW w:w="1187" w:type="dxa"/>
            <w:tcBorders>
              <w:top w:val="single" w:sz="4" w:space="0" w:color="auto"/>
              <w:bottom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2020</w:t>
            </w:r>
          </w:p>
        </w:tc>
        <w:tc>
          <w:tcPr>
            <w:tcW w:w="1187" w:type="dxa"/>
            <w:tcBorders>
              <w:top w:val="single" w:sz="4" w:space="0" w:color="auto"/>
              <w:bottom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2021</w:t>
            </w:r>
          </w:p>
        </w:tc>
        <w:tc>
          <w:tcPr>
            <w:tcW w:w="1187" w:type="dxa"/>
            <w:tcBorders>
              <w:top w:val="single" w:sz="4" w:space="0" w:color="auto"/>
              <w:bottom w:val="single" w:sz="4" w:space="0" w:color="auto"/>
            </w:tcBorders>
            <w:shd w:val="clear" w:color="auto" w:fill="F79646" w:themeFill="accent6"/>
            <w:noWrap/>
            <w:vAlign w:val="center"/>
          </w:tcPr>
          <w:p w:rsidR="00386743" w:rsidRPr="009C573C" w:rsidRDefault="00386743" w:rsidP="00386743">
            <w:pPr>
              <w:spacing w:after="0" w:line="240" w:lineRule="auto"/>
              <w:jc w:val="center"/>
              <w:rPr>
                <w:rFonts w:cs="Arial"/>
                <w:b/>
                <w:bCs/>
              </w:rPr>
            </w:pPr>
            <w:r>
              <w:rPr>
                <w:rFonts w:cs="Arial"/>
                <w:b/>
                <w:bCs/>
              </w:rPr>
              <w:t>2022</w:t>
            </w:r>
          </w:p>
        </w:tc>
        <w:tc>
          <w:tcPr>
            <w:tcW w:w="1110" w:type="dxa"/>
            <w:tcBorders>
              <w:top w:val="single" w:sz="4" w:space="0" w:color="auto"/>
              <w:bottom w:val="single" w:sz="4" w:space="0" w:color="auto"/>
              <w:right w:val="single" w:sz="4" w:space="0" w:color="auto"/>
            </w:tcBorders>
            <w:shd w:val="clear" w:color="auto" w:fill="F79646" w:themeFill="accent6"/>
            <w:noWrap/>
            <w:vAlign w:val="center"/>
            <w:hideMark/>
          </w:tcPr>
          <w:p w:rsidR="00386743" w:rsidRPr="009C573C" w:rsidRDefault="000E06B1" w:rsidP="00386743">
            <w:pPr>
              <w:spacing w:after="0" w:line="240" w:lineRule="auto"/>
              <w:jc w:val="center"/>
              <w:rPr>
                <w:rFonts w:cs="Arial"/>
                <w:b/>
                <w:bCs/>
              </w:rPr>
            </w:pPr>
            <w:r w:rsidRPr="009C573C">
              <w:rPr>
                <w:rFonts w:cs="Arial"/>
                <w:b/>
                <w:bCs/>
              </w:rPr>
              <w:t>VAR (%)</w:t>
            </w:r>
            <w:r>
              <w:rPr>
                <w:rFonts w:cs="Arial"/>
                <w:b/>
                <w:bCs/>
              </w:rPr>
              <w:t xml:space="preserve"> (2022/2021)</w:t>
            </w:r>
          </w:p>
        </w:tc>
      </w:tr>
      <w:tr w:rsidR="00B36E17" w:rsidRPr="009C573C" w:rsidTr="0045122F">
        <w:trPr>
          <w:trHeight w:val="241"/>
        </w:trPr>
        <w:tc>
          <w:tcPr>
            <w:tcW w:w="6737" w:type="dxa"/>
            <w:tcBorders>
              <w:top w:val="single" w:sz="4" w:space="0" w:color="auto"/>
              <w:left w:val="single" w:sz="4" w:space="0" w:color="auto"/>
            </w:tcBorders>
            <w:shd w:val="clear" w:color="auto" w:fill="FABF8F" w:themeFill="accent6" w:themeFillTint="99"/>
            <w:vAlign w:val="center"/>
            <w:hideMark/>
          </w:tcPr>
          <w:p w:rsidR="00B36E17" w:rsidRPr="009C573C" w:rsidRDefault="00B36E17" w:rsidP="00B36E17">
            <w:pPr>
              <w:spacing w:after="0"/>
              <w:rPr>
                <w:rFonts w:eastAsia="Times New Roman" w:cs="Arial"/>
                <w:b/>
                <w:bCs/>
              </w:rPr>
            </w:pPr>
            <w:r w:rsidRPr="009C573C">
              <w:rPr>
                <w:rFonts w:eastAsia="Times New Roman" w:cs="Arial"/>
                <w:b/>
                <w:bCs/>
              </w:rPr>
              <w:t>01-Produits alimentaires et boissons non alcoolisées</w:t>
            </w:r>
          </w:p>
        </w:tc>
        <w:tc>
          <w:tcPr>
            <w:tcW w:w="1187" w:type="dxa"/>
            <w:tcBorders>
              <w:top w:val="single" w:sz="4" w:space="0" w:color="auto"/>
            </w:tcBorders>
            <w:shd w:val="clear" w:color="auto" w:fill="FABF8F" w:themeFill="accent6" w:themeFillTint="99"/>
            <w:vAlign w:val="center"/>
          </w:tcPr>
          <w:p w:rsidR="00B36E17" w:rsidRDefault="00B36E17" w:rsidP="00B36E17">
            <w:pPr>
              <w:spacing w:after="0"/>
              <w:jc w:val="center"/>
              <w:rPr>
                <w:rFonts w:ascii="Arial" w:hAnsi="Arial" w:cs="Arial"/>
                <w:sz w:val="20"/>
                <w:szCs w:val="20"/>
              </w:rPr>
            </w:pPr>
            <w:r w:rsidRPr="00A76218">
              <w:rPr>
                <w:rFonts w:eastAsia="Times New Roman" w:cs="Arial"/>
                <w:b/>
                <w:bCs/>
              </w:rPr>
              <w:t>101,9</w:t>
            </w:r>
          </w:p>
        </w:tc>
        <w:tc>
          <w:tcPr>
            <w:tcW w:w="1187" w:type="dxa"/>
            <w:tcBorders>
              <w:top w:val="single" w:sz="4" w:space="0" w:color="auto"/>
            </w:tcBorders>
            <w:shd w:val="clear" w:color="auto" w:fill="FABF8F" w:themeFill="accent6" w:themeFillTint="99"/>
            <w:vAlign w:val="center"/>
          </w:tcPr>
          <w:p w:rsidR="00B36E17" w:rsidRPr="00976ACD" w:rsidRDefault="00B36E17" w:rsidP="00B36E17">
            <w:pPr>
              <w:spacing w:after="0"/>
              <w:jc w:val="center"/>
              <w:rPr>
                <w:rFonts w:eastAsia="Times New Roman" w:cs="Arial"/>
                <w:b/>
                <w:bCs/>
              </w:rPr>
            </w:pPr>
            <w:r w:rsidRPr="00976ACD">
              <w:rPr>
                <w:rFonts w:eastAsia="Times New Roman" w:cs="Arial"/>
                <w:b/>
                <w:bCs/>
              </w:rPr>
              <w:t>102,8</w:t>
            </w:r>
          </w:p>
        </w:tc>
        <w:tc>
          <w:tcPr>
            <w:tcW w:w="1187" w:type="dxa"/>
            <w:tcBorders>
              <w:top w:val="single" w:sz="4" w:space="0" w:color="auto"/>
            </w:tcBorders>
            <w:shd w:val="clear" w:color="auto" w:fill="FABF8F" w:themeFill="accent6" w:themeFillTint="99"/>
            <w:noWrap/>
            <w:vAlign w:val="center"/>
          </w:tcPr>
          <w:p w:rsidR="00B36E17" w:rsidRPr="00B36E17" w:rsidRDefault="00B36E17" w:rsidP="00B36E17">
            <w:pPr>
              <w:spacing w:after="0"/>
              <w:jc w:val="center"/>
              <w:rPr>
                <w:rFonts w:eastAsia="Times New Roman" w:cs="Arial"/>
                <w:b/>
                <w:bCs/>
              </w:rPr>
            </w:pPr>
            <w:r w:rsidRPr="00B36E17">
              <w:rPr>
                <w:rFonts w:eastAsia="Times New Roman" w:cs="Arial"/>
                <w:b/>
                <w:bCs/>
              </w:rPr>
              <w:t>113,5</w:t>
            </w:r>
          </w:p>
        </w:tc>
        <w:tc>
          <w:tcPr>
            <w:tcW w:w="1110" w:type="dxa"/>
            <w:tcBorders>
              <w:top w:val="single" w:sz="4" w:space="0" w:color="auto"/>
              <w:right w:val="single" w:sz="4" w:space="0" w:color="auto"/>
            </w:tcBorders>
            <w:shd w:val="clear" w:color="auto" w:fill="FABF8F" w:themeFill="accent6" w:themeFillTint="99"/>
            <w:noWrap/>
            <w:vAlign w:val="center"/>
            <w:hideMark/>
          </w:tcPr>
          <w:p w:rsidR="00B36E17" w:rsidRPr="00B36E17" w:rsidRDefault="00B36E17" w:rsidP="00B36E17">
            <w:pPr>
              <w:spacing w:after="0"/>
              <w:jc w:val="center"/>
              <w:rPr>
                <w:rFonts w:eastAsia="Times New Roman" w:cs="Arial"/>
                <w:b/>
                <w:bCs/>
              </w:rPr>
            </w:pPr>
            <w:r w:rsidRPr="00B36E17">
              <w:rPr>
                <w:rFonts w:eastAsia="Times New Roman" w:cs="Arial"/>
                <w:b/>
                <w:bCs/>
              </w:rPr>
              <w:t>10,4</w:t>
            </w:r>
          </w:p>
        </w:tc>
      </w:tr>
      <w:tr w:rsidR="00B36E17" w:rsidRPr="009C573C" w:rsidTr="0045122F">
        <w:trPr>
          <w:trHeight w:val="381"/>
        </w:trPr>
        <w:tc>
          <w:tcPr>
            <w:tcW w:w="6737" w:type="dxa"/>
            <w:tcBorders>
              <w:left w:val="single" w:sz="4" w:space="0" w:color="auto"/>
            </w:tcBorders>
            <w:shd w:val="clear" w:color="auto" w:fill="auto"/>
            <w:vAlign w:val="center"/>
          </w:tcPr>
          <w:p w:rsidR="00B36E17" w:rsidRPr="009C573C" w:rsidRDefault="00B36E17" w:rsidP="00B36E17">
            <w:pPr>
              <w:spacing w:after="0"/>
              <w:rPr>
                <w:rFonts w:eastAsia="Times New Roman" w:cs="Arial"/>
                <w:b/>
                <w:bCs/>
              </w:rPr>
            </w:pPr>
            <w:r w:rsidRPr="00494B0F">
              <w:rPr>
                <w:rFonts w:cs="Arial"/>
              </w:rPr>
              <w:t>Produits alimentaires</w:t>
            </w:r>
          </w:p>
        </w:tc>
        <w:tc>
          <w:tcPr>
            <w:tcW w:w="1187" w:type="dxa"/>
            <w:vAlign w:val="center"/>
          </w:tcPr>
          <w:p w:rsidR="00B36E17" w:rsidRPr="00494B0F" w:rsidRDefault="00B36E17" w:rsidP="00B36E17">
            <w:pPr>
              <w:spacing w:after="0" w:line="360" w:lineRule="auto"/>
              <w:jc w:val="center"/>
              <w:rPr>
                <w:rFonts w:cs="Arial"/>
              </w:rPr>
            </w:pPr>
            <w:r w:rsidRPr="00494B0F">
              <w:rPr>
                <w:rFonts w:cs="Arial"/>
              </w:rPr>
              <w:t>101,9</w:t>
            </w:r>
          </w:p>
        </w:tc>
        <w:tc>
          <w:tcPr>
            <w:tcW w:w="1187" w:type="dxa"/>
            <w:vAlign w:val="center"/>
          </w:tcPr>
          <w:p w:rsidR="00B36E17" w:rsidRPr="00976ACD" w:rsidRDefault="00B36E17" w:rsidP="00B36E17">
            <w:pPr>
              <w:spacing w:after="0" w:line="360" w:lineRule="auto"/>
              <w:jc w:val="center"/>
              <w:rPr>
                <w:rFonts w:cs="Arial"/>
              </w:rPr>
            </w:pPr>
            <w:r w:rsidRPr="00976ACD">
              <w:rPr>
                <w:rFonts w:cs="Arial"/>
              </w:rPr>
              <w:t>102,9</w:t>
            </w:r>
          </w:p>
        </w:tc>
        <w:tc>
          <w:tcPr>
            <w:tcW w:w="1187" w:type="dxa"/>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114,1</w:t>
            </w:r>
          </w:p>
        </w:tc>
        <w:tc>
          <w:tcPr>
            <w:tcW w:w="1110" w:type="dxa"/>
            <w:tcBorders>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10,9</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rPr>
                <w:rFonts w:cs="Arial"/>
              </w:rPr>
            </w:pPr>
            <w:r w:rsidRPr="009C573C">
              <w:rPr>
                <w:rFonts w:cs="Arial"/>
              </w:rPr>
              <w:t>Pain et céréales</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101,7</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104,7</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120,1</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14,7</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rPr>
                <w:rFonts w:cs="Arial"/>
              </w:rPr>
            </w:pPr>
            <w:r w:rsidRPr="009C573C">
              <w:rPr>
                <w:rFonts w:cs="Arial"/>
              </w:rPr>
              <w:t>Viande</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105,2</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106,2</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112,2</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5,6</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Poisson et fruits de mer</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93,6</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93,1</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96,9</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4,1</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Lait, fromage et œufs</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102,3</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104,7</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112,7</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7,6</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Huiles et graisses</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99,5</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106,5</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128,8</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20,9</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Fruits</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109,8</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104,7</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111,1</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6,1</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ind w:left="-638" w:firstLine="638"/>
              <w:rPr>
                <w:rFonts w:cs="Arial"/>
              </w:rPr>
            </w:pPr>
            <w:r w:rsidRPr="009C573C">
              <w:rPr>
                <w:rFonts w:cs="Arial"/>
              </w:rPr>
              <w:t>Légumes</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101,0</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95,6</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108,6</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13,6</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Sucre, confiture, miel, chocolat et confiserie</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99,5</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100,1</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100,6</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0,5</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Produits alimentaires n.c.a</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94,6</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94,6</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103,7</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9,6</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Boissons non alcoolisées</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100,8</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100,6</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101,9</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1,3</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Café, thé et cacao</w:t>
            </w:r>
          </w:p>
        </w:tc>
        <w:tc>
          <w:tcPr>
            <w:tcW w:w="1187" w:type="dxa"/>
            <w:tcBorders>
              <w:top w:val="nil"/>
            </w:tcBorders>
            <w:vAlign w:val="center"/>
          </w:tcPr>
          <w:p w:rsidR="00B36E17" w:rsidRPr="00751663" w:rsidRDefault="00B36E17" w:rsidP="00B36E17">
            <w:pPr>
              <w:spacing w:after="0" w:line="360" w:lineRule="auto"/>
              <w:jc w:val="center"/>
              <w:rPr>
                <w:rFonts w:cs="Arial"/>
              </w:rPr>
            </w:pPr>
            <w:r w:rsidRPr="00751663">
              <w:rPr>
                <w:rFonts w:cs="Arial"/>
              </w:rPr>
              <w:t>100,0</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99,9</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100,8</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0,9</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Eaux minérales, boissons rafraichissantes, jus de fruits et de légumes(nd)</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sidRPr="00751663">
              <w:rPr>
                <w:rFonts w:cs="Arial"/>
              </w:rPr>
              <w:t>104,2</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104,0</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106,9</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2,8</w:t>
            </w:r>
          </w:p>
        </w:tc>
      </w:tr>
      <w:tr w:rsidR="00B36E17" w:rsidRPr="009C573C" w:rsidTr="0045122F">
        <w:trPr>
          <w:trHeight w:val="19"/>
        </w:trPr>
        <w:tc>
          <w:tcPr>
            <w:tcW w:w="6737" w:type="dxa"/>
            <w:tcBorders>
              <w:top w:val="nil"/>
              <w:left w:val="single" w:sz="4" w:space="0" w:color="auto"/>
            </w:tcBorders>
            <w:shd w:val="clear" w:color="auto" w:fill="FABF8F" w:themeFill="accent6" w:themeFillTint="99"/>
            <w:vAlign w:val="center"/>
            <w:hideMark/>
          </w:tcPr>
          <w:p w:rsidR="00B36E17" w:rsidRPr="009C573C" w:rsidRDefault="00B36E17" w:rsidP="00B36E17">
            <w:pPr>
              <w:spacing w:after="0"/>
              <w:rPr>
                <w:rFonts w:eastAsia="Times New Roman" w:cs="Arial"/>
                <w:b/>
                <w:bCs/>
              </w:rPr>
            </w:pPr>
            <w:r>
              <w:rPr>
                <w:rFonts w:eastAsia="Times New Roman" w:cs="Arial"/>
                <w:b/>
                <w:bCs/>
              </w:rPr>
              <w:t>02-Boissons alcoolisées et</w:t>
            </w:r>
            <w:r w:rsidRPr="009C573C">
              <w:rPr>
                <w:rFonts w:eastAsia="Times New Roman" w:cs="Arial"/>
                <w:b/>
                <w:bCs/>
              </w:rPr>
              <w:t xml:space="preserve"> tabac</w:t>
            </w:r>
          </w:p>
        </w:tc>
        <w:tc>
          <w:tcPr>
            <w:tcW w:w="1187" w:type="dxa"/>
            <w:tcBorders>
              <w:top w:val="nil"/>
            </w:tcBorders>
            <w:shd w:val="clear" w:color="auto" w:fill="FABF8F" w:themeFill="accent6" w:themeFillTint="99"/>
            <w:vAlign w:val="center"/>
          </w:tcPr>
          <w:p w:rsidR="00B36E17" w:rsidRPr="00A76218" w:rsidRDefault="00B36E17" w:rsidP="00B36E17">
            <w:pPr>
              <w:spacing w:after="0"/>
              <w:jc w:val="center"/>
              <w:rPr>
                <w:rFonts w:eastAsia="Times New Roman" w:cs="Arial"/>
                <w:b/>
                <w:bCs/>
              </w:rPr>
            </w:pPr>
            <w:r w:rsidRPr="00A76218">
              <w:rPr>
                <w:rFonts w:eastAsia="Times New Roman" w:cs="Arial"/>
                <w:b/>
                <w:bCs/>
              </w:rPr>
              <w:t>120,5</w:t>
            </w:r>
          </w:p>
        </w:tc>
        <w:tc>
          <w:tcPr>
            <w:tcW w:w="1187" w:type="dxa"/>
            <w:tcBorders>
              <w:top w:val="nil"/>
            </w:tcBorders>
            <w:shd w:val="clear" w:color="auto" w:fill="FABF8F" w:themeFill="accent6" w:themeFillTint="99"/>
            <w:vAlign w:val="center"/>
          </w:tcPr>
          <w:p w:rsidR="00B36E17" w:rsidRPr="00976ACD" w:rsidRDefault="00B36E17" w:rsidP="00B36E17">
            <w:pPr>
              <w:spacing w:after="0"/>
              <w:jc w:val="center"/>
              <w:rPr>
                <w:rFonts w:eastAsia="Times New Roman" w:cs="Arial"/>
                <w:b/>
                <w:bCs/>
              </w:rPr>
            </w:pPr>
            <w:r w:rsidRPr="00976ACD">
              <w:rPr>
                <w:rFonts w:eastAsia="Times New Roman" w:cs="Arial"/>
                <w:b/>
                <w:bCs/>
              </w:rPr>
              <w:t>124,8</w:t>
            </w:r>
          </w:p>
        </w:tc>
        <w:tc>
          <w:tcPr>
            <w:tcW w:w="1187" w:type="dxa"/>
            <w:tcBorders>
              <w:top w:val="nil"/>
            </w:tcBorders>
            <w:shd w:val="clear" w:color="auto" w:fill="FABF8F" w:themeFill="accent6" w:themeFillTint="99"/>
            <w:noWrap/>
            <w:vAlign w:val="center"/>
          </w:tcPr>
          <w:p w:rsidR="00B36E17" w:rsidRPr="0045122F" w:rsidRDefault="00B36E17" w:rsidP="0045122F">
            <w:pPr>
              <w:spacing w:after="0"/>
              <w:jc w:val="center"/>
              <w:rPr>
                <w:rFonts w:eastAsia="Times New Roman" w:cs="Arial"/>
                <w:b/>
                <w:bCs/>
              </w:rPr>
            </w:pPr>
            <w:r w:rsidRPr="0045122F">
              <w:rPr>
                <w:rFonts w:eastAsia="Times New Roman" w:cs="Arial"/>
                <w:b/>
                <w:bCs/>
              </w:rPr>
              <w:t>129,2</w:t>
            </w:r>
          </w:p>
        </w:tc>
        <w:tc>
          <w:tcPr>
            <w:tcW w:w="1110" w:type="dxa"/>
            <w:tcBorders>
              <w:top w:val="nil"/>
              <w:right w:val="single" w:sz="4" w:space="0" w:color="auto"/>
            </w:tcBorders>
            <w:shd w:val="clear" w:color="auto" w:fill="FABF8F" w:themeFill="accent6" w:themeFillTint="99"/>
            <w:noWrap/>
            <w:vAlign w:val="center"/>
            <w:hideMark/>
          </w:tcPr>
          <w:p w:rsidR="00B36E17" w:rsidRPr="0045122F" w:rsidRDefault="00B36E17" w:rsidP="0045122F">
            <w:pPr>
              <w:spacing w:after="0"/>
              <w:jc w:val="center"/>
              <w:rPr>
                <w:rFonts w:eastAsia="Times New Roman" w:cs="Arial"/>
                <w:b/>
                <w:bCs/>
              </w:rPr>
            </w:pPr>
            <w:r w:rsidRPr="0045122F">
              <w:rPr>
                <w:rFonts w:eastAsia="Times New Roman" w:cs="Arial"/>
                <w:b/>
                <w:bCs/>
              </w:rPr>
              <w:t>3,5</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Boissons alcoolisées</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Pr>
                <w:rFonts w:ascii="Arial" w:hAnsi="Arial" w:cs="Arial"/>
                <w:sz w:val="20"/>
                <w:szCs w:val="20"/>
              </w:rPr>
              <w:t>96,1</w:t>
            </w:r>
          </w:p>
        </w:tc>
        <w:tc>
          <w:tcPr>
            <w:tcW w:w="1187" w:type="dxa"/>
            <w:tcBorders>
              <w:top w:val="nil"/>
            </w:tcBorders>
            <w:vAlign w:val="center"/>
          </w:tcPr>
          <w:p w:rsidR="00B36E17" w:rsidRPr="00976ACD" w:rsidRDefault="00B36E17" w:rsidP="00B36E17">
            <w:pPr>
              <w:spacing w:after="0" w:line="360" w:lineRule="auto"/>
              <w:jc w:val="center"/>
              <w:rPr>
                <w:rFonts w:ascii="Arial" w:hAnsi="Arial" w:cs="Arial"/>
                <w:sz w:val="20"/>
                <w:szCs w:val="20"/>
              </w:rPr>
            </w:pPr>
            <w:r w:rsidRPr="00976ACD">
              <w:rPr>
                <w:rFonts w:ascii="Arial" w:hAnsi="Arial" w:cs="Arial"/>
                <w:sz w:val="20"/>
                <w:szCs w:val="20"/>
              </w:rPr>
              <w:t>100,2</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105,1</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4,9</w:t>
            </w:r>
          </w:p>
        </w:tc>
      </w:tr>
      <w:tr w:rsidR="00B36E17" w:rsidRPr="009C573C" w:rsidTr="0045122F">
        <w:trPr>
          <w:trHeight w:val="33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Spiritueux</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Pr>
                <w:rFonts w:ascii="Arial" w:hAnsi="Arial" w:cs="Arial"/>
                <w:sz w:val="20"/>
                <w:szCs w:val="20"/>
              </w:rPr>
              <w:t>93,9</w:t>
            </w:r>
          </w:p>
        </w:tc>
        <w:tc>
          <w:tcPr>
            <w:tcW w:w="1187" w:type="dxa"/>
            <w:tcBorders>
              <w:top w:val="nil"/>
            </w:tcBorders>
            <w:vAlign w:val="center"/>
          </w:tcPr>
          <w:p w:rsidR="00B36E17" w:rsidRPr="00976ACD" w:rsidRDefault="00B36E17" w:rsidP="00B36E17">
            <w:pPr>
              <w:spacing w:after="0" w:line="360" w:lineRule="auto"/>
              <w:jc w:val="center"/>
              <w:rPr>
                <w:rFonts w:ascii="Arial" w:hAnsi="Arial" w:cs="Arial"/>
                <w:sz w:val="20"/>
                <w:szCs w:val="20"/>
              </w:rPr>
            </w:pPr>
            <w:r w:rsidRPr="00976ACD">
              <w:rPr>
                <w:rFonts w:ascii="Arial" w:hAnsi="Arial" w:cs="Arial"/>
                <w:sz w:val="20"/>
                <w:szCs w:val="20"/>
              </w:rPr>
              <w:t>96,4</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99,5</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3,2</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Vin et boissons fermentées</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Pr>
                <w:rFonts w:ascii="Arial" w:hAnsi="Arial" w:cs="Arial"/>
                <w:sz w:val="20"/>
                <w:szCs w:val="20"/>
              </w:rPr>
              <w:t>97,5</w:t>
            </w:r>
          </w:p>
        </w:tc>
        <w:tc>
          <w:tcPr>
            <w:tcW w:w="1187" w:type="dxa"/>
            <w:tcBorders>
              <w:top w:val="nil"/>
            </w:tcBorders>
            <w:vAlign w:val="center"/>
          </w:tcPr>
          <w:p w:rsidR="00B36E17" w:rsidRPr="00976ACD" w:rsidRDefault="00B36E17" w:rsidP="00B36E17">
            <w:pPr>
              <w:spacing w:after="0" w:line="360" w:lineRule="auto"/>
              <w:jc w:val="center"/>
              <w:rPr>
                <w:rFonts w:ascii="Arial" w:hAnsi="Arial" w:cs="Arial"/>
                <w:sz w:val="20"/>
                <w:szCs w:val="20"/>
              </w:rPr>
            </w:pPr>
            <w:r w:rsidRPr="00976ACD">
              <w:rPr>
                <w:rFonts w:ascii="Arial" w:hAnsi="Arial" w:cs="Arial"/>
                <w:sz w:val="20"/>
                <w:szCs w:val="20"/>
              </w:rPr>
              <w:t>101,1</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107,3</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6,1</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Bière</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Pr>
                <w:rFonts w:ascii="Arial" w:hAnsi="Arial" w:cs="Arial"/>
                <w:sz w:val="20"/>
                <w:szCs w:val="20"/>
              </w:rPr>
              <w:t>105,1</w:t>
            </w:r>
          </w:p>
        </w:tc>
        <w:tc>
          <w:tcPr>
            <w:tcW w:w="1187" w:type="dxa"/>
            <w:tcBorders>
              <w:top w:val="nil"/>
            </w:tcBorders>
            <w:vAlign w:val="center"/>
          </w:tcPr>
          <w:p w:rsidR="00B36E17" w:rsidRPr="00976ACD" w:rsidRDefault="00B36E17" w:rsidP="00B36E17">
            <w:pPr>
              <w:spacing w:after="0" w:line="360" w:lineRule="auto"/>
              <w:jc w:val="center"/>
              <w:rPr>
                <w:rFonts w:ascii="Arial" w:hAnsi="Arial" w:cs="Arial"/>
                <w:sz w:val="20"/>
                <w:szCs w:val="20"/>
              </w:rPr>
            </w:pPr>
            <w:r w:rsidRPr="00976ACD">
              <w:rPr>
                <w:rFonts w:ascii="Arial" w:hAnsi="Arial" w:cs="Arial"/>
                <w:sz w:val="20"/>
                <w:szCs w:val="20"/>
              </w:rPr>
              <w:t>120,8</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132,9</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10,0</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Tabac</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Pr>
                <w:rFonts w:ascii="Arial" w:hAnsi="Arial" w:cs="Arial"/>
                <w:sz w:val="20"/>
                <w:szCs w:val="20"/>
              </w:rPr>
              <w:t>122,1</w:t>
            </w:r>
          </w:p>
        </w:tc>
        <w:tc>
          <w:tcPr>
            <w:tcW w:w="1187" w:type="dxa"/>
            <w:tcBorders>
              <w:top w:val="nil"/>
            </w:tcBorders>
            <w:vAlign w:val="center"/>
          </w:tcPr>
          <w:p w:rsidR="00B36E17" w:rsidRPr="00976ACD" w:rsidRDefault="00B36E17" w:rsidP="00B36E17">
            <w:pPr>
              <w:spacing w:after="0" w:line="360" w:lineRule="auto"/>
              <w:jc w:val="center"/>
              <w:rPr>
                <w:rFonts w:ascii="Arial" w:hAnsi="Arial" w:cs="Arial"/>
                <w:sz w:val="20"/>
                <w:szCs w:val="20"/>
              </w:rPr>
            </w:pPr>
            <w:r w:rsidRPr="00976ACD">
              <w:rPr>
                <w:rFonts w:ascii="Arial" w:hAnsi="Arial" w:cs="Arial"/>
                <w:sz w:val="20"/>
                <w:szCs w:val="20"/>
              </w:rPr>
              <w:t>126,5</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130,8</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3,4</w:t>
            </w:r>
          </w:p>
        </w:tc>
      </w:tr>
      <w:tr w:rsidR="00B36E17" w:rsidRPr="009C573C" w:rsidTr="0045122F">
        <w:trPr>
          <w:trHeight w:val="19"/>
        </w:trPr>
        <w:tc>
          <w:tcPr>
            <w:tcW w:w="6737" w:type="dxa"/>
            <w:tcBorders>
              <w:top w:val="nil"/>
              <w:left w:val="single" w:sz="4" w:space="0" w:color="auto"/>
            </w:tcBorders>
            <w:shd w:val="clear" w:color="auto" w:fill="auto"/>
            <w:vAlign w:val="center"/>
            <w:hideMark/>
          </w:tcPr>
          <w:p w:rsidR="00B36E17" w:rsidRPr="009C573C" w:rsidRDefault="00B36E17" w:rsidP="00B36E17">
            <w:pPr>
              <w:spacing w:after="0" w:line="360" w:lineRule="auto"/>
              <w:rPr>
                <w:rFonts w:cs="Arial"/>
              </w:rPr>
            </w:pPr>
            <w:r w:rsidRPr="009C573C">
              <w:rPr>
                <w:rFonts w:cs="Arial"/>
              </w:rPr>
              <w:t>Tabac</w:t>
            </w:r>
          </w:p>
        </w:tc>
        <w:tc>
          <w:tcPr>
            <w:tcW w:w="1187" w:type="dxa"/>
            <w:tcBorders>
              <w:top w:val="nil"/>
            </w:tcBorders>
            <w:vAlign w:val="center"/>
          </w:tcPr>
          <w:p w:rsidR="00B36E17" w:rsidRDefault="00B36E17" w:rsidP="00B36E17">
            <w:pPr>
              <w:spacing w:after="0" w:line="360" w:lineRule="auto"/>
              <w:jc w:val="center"/>
              <w:rPr>
                <w:rFonts w:ascii="Arial" w:hAnsi="Arial" w:cs="Arial"/>
                <w:sz w:val="20"/>
                <w:szCs w:val="20"/>
              </w:rPr>
            </w:pPr>
            <w:r>
              <w:rPr>
                <w:rFonts w:ascii="Arial" w:hAnsi="Arial" w:cs="Arial"/>
                <w:sz w:val="20"/>
                <w:szCs w:val="20"/>
              </w:rPr>
              <w:t>122,1</w:t>
            </w:r>
          </w:p>
        </w:tc>
        <w:tc>
          <w:tcPr>
            <w:tcW w:w="1187" w:type="dxa"/>
            <w:tcBorders>
              <w:top w:val="nil"/>
            </w:tcBorders>
            <w:vAlign w:val="center"/>
          </w:tcPr>
          <w:p w:rsidR="00B36E17" w:rsidRPr="00976ACD" w:rsidRDefault="00B36E17" w:rsidP="00B36E17">
            <w:pPr>
              <w:spacing w:after="0" w:line="360" w:lineRule="auto"/>
              <w:jc w:val="center"/>
              <w:rPr>
                <w:rFonts w:ascii="Arial" w:hAnsi="Arial" w:cs="Arial"/>
                <w:sz w:val="20"/>
                <w:szCs w:val="20"/>
              </w:rPr>
            </w:pPr>
            <w:r w:rsidRPr="00976ACD">
              <w:rPr>
                <w:rFonts w:ascii="Arial" w:hAnsi="Arial" w:cs="Arial"/>
                <w:sz w:val="20"/>
                <w:szCs w:val="20"/>
              </w:rPr>
              <w:t>126,5</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130,8</w:t>
            </w:r>
          </w:p>
        </w:tc>
        <w:tc>
          <w:tcPr>
            <w:tcW w:w="1110" w:type="dxa"/>
            <w:tcBorders>
              <w:top w:val="nil"/>
              <w:right w:val="single" w:sz="4" w:space="0" w:color="auto"/>
            </w:tcBorders>
            <w:shd w:val="clear" w:color="auto" w:fill="auto"/>
            <w:noWrap/>
            <w:vAlign w:val="center"/>
            <w:hideMark/>
          </w:tcPr>
          <w:p w:rsidR="00B36E17" w:rsidRPr="00B36E17" w:rsidRDefault="00B36E17" w:rsidP="00B36E17">
            <w:pPr>
              <w:spacing w:after="0" w:line="360" w:lineRule="auto"/>
              <w:jc w:val="center"/>
              <w:rPr>
                <w:rFonts w:cs="Arial"/>
              </w:rPr>
            </w:pPr>
            <w:r w:rsidRPr="00B36E17">
              <w:rPr>
                <w:rFonts w:cs="Arial"/>
              </w:rPr>
              <w:t>3,4</w:t>
            </w:r>
          </w:p>
        </w:tc>
      </w:tr>
      <w:tr w:rsidR="00B36E17" w:rsidRPr="009C573C" w:rsidTr="0045122F">
        <w:trPr>
          <w:trHeight w:val="19"/>
        </w:trPr>
        <w:tc>
          <w:tcPr>
            <w:tcW w:w="6737" w:type="dxa"/>
            <w:tcBorders>
              <w:top w:val="nil"/>
              <w:left w:val="single" w:sz="4" w:space="0" w:color="auto"/>
            </w:tcBorders>
            <w:shd w:val="clear" w:color="auto" w:fill="FABF8F" w:themeFill="accent6" w:themeFillTint="99"/>
            <w:vAlign w:val="center"/>
          </w:tcPr>
          <w:p w:rsidR="00B36E17" w:rsidRPr="009C573C" w:rsidRDefault="00B36E17" w:rsidP="00B36E17">
            <w:pPr>
              <w:spacing w:after="0"/>
              <w:rPr>
                <w:rFonts w:cs="Arial"/>
                <w:b/>
                <w:bCs/>
              </w:rPr>
            </w:pPr>
            <w:r w:rsidRPr="009C573C">
              <w:rPr>
                <w:rFonts w:cs="Arial"/>
                <w:b/>
                <w:bCs/>
              </w:rPr>
              <w:t>03-Articles</w:t>
            </w:r>
            <w:r>
              <w:rPr>
                <w:rFonts w:cs="Arial"/>
                <w:b/>
                <w:bCs/>
              </w:rPr>
              <w:t xml:space="preserve"> d</w:t>
            </w:r>
            <w:r w:rsidRPr="009C573C">
              <w:rPr>
                <w:rFonts w:cs="Arial"/>
                <w:b/>
                <w:bCs/>
              </w:rPr>
              <w:t>'habillementet chaussures</w:t>
            </w:r>
          </w:p>
        </w:tc>
        <w:tc>
          <w:tcPr>
            <w:tcW w:w="1187" w:type="dxa"/>
            <w:tcBorders>
              <w:top w:val="nil"/>
            </w:tcBorders>
            <w:shd w:val="clear" w:color="auto" w:fill="FABF8F" w:themeFill="accent6" w:themeFillTint="99"/>
            <w:vAlign w:val="center"/>
          </w:tcPr>
          <w:p w:rsidR="00B36E17" w:rsidRPr="004534F9" w:rsidRDefault="00B36E17" w:rsidP="00B36E17">
            <w:pPr>
              <w:spacing w:after="0"/>
              <w:jc w:val="center"/>
              <w:rPr>
                <w:rFonts w:cs="Arial"/>
                <w:b/>
                <w:bCs/>
              </w:rPr>
            </w:pPr>
            <w:r w:rsidRPr="004534F9">
              <w:rPr>
                <w:rFonts w:cs="Arial"/>
                <w:b/>
                <w:bCs/>
              </w:rPr>
              <w:t>104,1</w:t>
            </w:r>
          </w:p>
        </w:tc>
        <w:tc>
          <w:tcPr>
            <w:tcW w:w="1187" w:type="dxa"/>
            <w:tcBorders>
              <w:top w:val="nil"/>
            </w:tcBorders>
            <w:shd w:val="clear" w:color="auto" w:fill="FABF8F" w:themeFill="accent6" w:themeFillTint="99"/>
            <w:vAlign w:val="center"/>
          </w:tcPr>
          <w:p w:rsidR="00B36E17" w:rsidRPr="00976ACD" w:rsidRDefault="00B36E17" w:rsidP="00B36E17">
            <w:pPr>
              <w:spacing w:after="0"/>
              <w:jc w:val="center"/>
              <w:rPr>
                <w:rFonts w:eastAsia="Times New Roman" w:cs="Arial"/>
                <w:b/>
                <w:bCs/>
              </w:rPr>
            </w:pPr>
            <w:r w:rsidRPr="00976ACD">
              <w:rPr>
                <w:rFonts w:eastAsia="Times New Roman" w:cs="Arial"/>
                <w:b/>
                <w:bCs/>
              </w:rPr>
              <w:t>108,0</w:t>
            </w:r>
          </w:p>
        </w:tc>
        <w:tc>
          <w:tcPr>
            <w:tcW w:w="1187" w:type="dxa"/>
            <w:tcBorders>
              <w:top w:val="nil"/>
            </w:tcBorders>
            <w:shd w:val="clear" w:color="auto" w:fill="FABF8F" w:themeFill="accent6" w:themeFillTint="99"/>
            <w:noWrap/>
            <w:vAlign w:val="center"/>
          </w:tcPr>
          <w:p w:rsidR="00B36E17" w:rsidRPr="0045122F" w:rsidRDefault="00B36E17" w:rsidP="0045122F">
            <w:pPr>
              <w:spacing w:after="0"/>
              <w:jc w:val="center"/>
              <w:rPr>
                <w:rFonts w:eastAsia="Times New Roman" w:cs="Arial"/>
                <w:b/>
                <w:bCs/>
              </w:rPr>
            </w:pPr>
            <w:r w:rsidRPr="0045122F">
              <w:rPr>
                <w:rFonts w:eastAsia="Times New Roman" w:cs="Arial"/>
                <w:b/>
                <w:bCs/>
              </w:rPr>
              <w:t>118,6</w:t>
            </w:r>
          </w:p>
        </w:tc>
        <w:tc>
          <w:tcPr>
            <w:tcW w:w="1110" w:type="dxa"/>
            <w:tcBorders>
              <w:top w:val="nil"/>
              <w:right w:val="single" w:sz="4" w:space="0" w:color="auto"/>
            </w:tcBorders>
            <w:shd w:val="clear" w:color="auto" w:fill="FABF8F" w:themeFill="accent6" w:themeFillTint="99"/>
            <w:noWrap/>
            <w:vAlign w:val="center"/>
          </w:tcPr>
          <w:p w:rsidR="00B36E17" w:rsidRPr="0045122F" w:rsidRDefault="00B36E17" w:rsidP="0045122F">
            <w:pPr>
              <w:spacing w:after="0"/>
              <w:jc w:val="center"/>
              <w:rPr>
                <w:rFonts w:eastAsia="Times New Roman" w:cs="Arial"/>
                <w:b/>
                <w:bCs/>
              </w:rPr>
            </w:pPr>
            <w:r w:rsidRPr="0045122F">
              <w:rPr>
                <w:rFonts w:eastAsia="Times New Roman" w:cs="Arial"/>
                <w:b/>
                <w:bCs/>
              </w:rPr>
              <w:t>9,8</w:t>
            </w:r>
          </w:p>
        </w:tc>
      </w:tr>
      <w:tr w:rsidR="00B36E17" w:rsidRPr="009C573C" w:rsidTr="0045122F">
        <w:trPr>
          <w:trHeight w:val="19"/>
        </w:trPr>
        <w:tc>
          <w:tcPr>
            <w:tcW w:w="6737" w:type="dxa"/>
            <w:tcBorders>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Articles d'habillement</w:t>
            </w:r>
          </w:p>
        </w:tc>
        <w:tc>
          <w:tcPr>
            <w:tcW w:w="1187" w:type="dxa"/>
            <w:vAlign w:val="center"/>
          </w:tcPr>
          <w:p w:rsidR="00B36E17" w:rsidRPr="004534F9" w:rsidRDefault="00B36E17" w:rsidP="00B36E17">
            <w:pPr>
              <w:spacing w:after="0" w:line="360" w:lineRule="auto"/>
              <w:jc w:val="center"/>
              <w:rPr>
                <w:rFonts w:cs="Arial"/>
              </w:rPr>
            </w:pPr>
            <w:r w:rsidRPr="004534F9">
              <w:rPr>
                <w:rFonts w:cs="Arial"/>
              </w:rPr>
              <w:t>102,7</w:t>
            </w:r>
          </w:p>
        </w:tc>
        <w:tc>
          <w:tcPr>
            <w:tcW w:w="1187" w:type="dxa"/>
            <w:vAlign w:val="center"/>
          </w:tcPr>
          <w:p w:rsidR="00B36E17" w:rsidRPr="00976ACD" w:rsidRDefault="00B36E17" w:rsidP="00B36E17">
            <w:pPr>
              <w:spacing w:after="0" w:line="360" w:lineRule="auto"/>
              <w:jc w:val="center"/>
              <w:rPr>
                <w:rFonts w:cs="Arial"/>
              </w:rPr>
            </w:pPr>
            <w:r w:rsidRPr="00976ACD">
              <w:rPr>
                <w:rFonts w:cs="Arial"/>
              </w:rPr>
              <w:t>105,5</w:t>
            </w:r>
          </w:p>
        </w:tc>
        <w:tc>
          <w:tcPr>
            <w:tcW w:w="1187" w:type="dxa"/>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112,2</w:t>
            </w:r>
          </w:p>
        </w:tc>
        <w:tc>
          <w:tcPr>
            <w:tcW w:w="1110" w:type="dxa"/>
            <w:tcBorders>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6,4</w:t>
            </w:r>
          </w:p>
        </w:tc>
      </w:tr>
      <w:tr w:rsidR="00B36E17" w:rsidRPr="009C573C" w:rsidTr="0045122F">
        <w:trPr>
          <w:trHeight w:val="319"/>
        </w:trPr>
        <w:tc>
          <w:tcPr>
            <w:tcW w:w="6737"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Tissus pour habillement</w:t>
            </w:r>
          </w:p>
        </w:tc>
        <w:tc>
          <w:tcPr>
            <w:tcW w:w="1187" w:type="dxa"/>
            <w:tcBorders>
              <w:top w:val="nil"/>
            </w:tcBorders>
            <w:vAlign w:val="center"/>
          </w:tcPr>
          <w:p w:rsidR="00B36E17" w:rsidRPr="004534F9" w:rsidRDefault="00B36E17" w:rsidP="00B36E17">
            <w:pPr>
              <w:spacing w:after="0" w:line="360" w:lineRule="auto"/>
              <w:jc w:val="center"/>
              <w:rPr>
                <w:rFonts w:cs="Arial"/>
              </w:rPr>
            </w:pPr>
            <w:r w:rsidRPr="004534F9">
              <w:rPr>
                <w:rFonts w:cs="Arial"/>
              </w:rPr>
              <w:t>101,1</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101,9</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107,1</w:t>
            </w:r>
          </w:p>
        </w:tc>
        <w:tc>
          <w:tcPr>
            <w:tcW w:w="1110" w:type="dxa"/>
            <w:tcBorders>
              <w:top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5,1</w:t>
            </w:r>
          </w:p>
        </w:tc>
      </w:tr>
      <w:tr w:rsidR="00B36E17" w:rsidRPr="009C573C" w:rsidTr="0045122F">
        <w:trPr>
          <w:trHeight w:val="19"/>
        </w:trPr>
        <w:tc>
          <w:tcPr>
            <w:tcW w:w="6737" w:type="dxa"/>
            <w:tcBorders>
              <w:top w:val="nil"/>
              <w:left w:val="single" w:sz="4" w:space="0" w:color="auto"/>
              <w:bottom w:val="nil"/>
            </w:tcBorders>
            <w:shd w:val="clear" w:color="auto" w:fill="auto"/>
            <w:vAlign w:val="center"/>
          </w:tcPr>
          <w:p w:rsidR="00B36E17" w:rsidRPr="009C573C" w:rsidRDefault="00B36E17" w:rsidP="00B36E17">
            <w:pPr>
              <w:spacing w:after="0" w:line="360" w:lineRule="auto"/>
              <w:rPr>
                <w:rFonts w:cs="Arial"/>
              </w:rPr>
            </w:pPr>
            <w:r w:rsidRPr="009C573C">
              <w:rPr>
                <w:rFonts w:cs="Arial"/>
              </w:rPr>
              <w:t>Vêtements</w:t>
            </w:r>
          </w:p>
        </w:tc>
        <w:tc>
          <w:tcPr>
            <w:tcW w:w="1187" w:type="dxa"/>
            <w:tcBorders>
              <w:top w:val="nil"/>
              <w:bottom w:val="nil"/>
            </w:tcBorders>
            <w:vAlign w:val="center"/>
          </w:tcPr>
          <w:p w:rsidR="00B36E17" w:rsidRPr="004534F9" w:rsidRDefault="00B36E17" w:rsidP="00B36E17">
            <w:pPr>
              <w:spacing w:after="0" w:line="360" w:lineRule="auto"/>
              <w:jc w:val="center"/>
              <w:rPr>
                <w:rFonts w:cs="Arial"/>
              </w:rPr>
            </w:pPr>
            <w:r w:rsidRPr="004534F9">
              <w:rPr>
                <w:rFonts w:cs="Arial"/>
              </w:rPr>
              <w:t>103,1</w:t>
            </w:r>
          </w:p>
        </w:tc>
        <w:tc>
          <w:tcPr>
            <w:tcW w:w="1187" w:type="dxa"/>
            <w:tcBorders>
              <w:top w:val="nil"/>
              <w:bottom w:val="nil"/>
            </w:tcBorders>
            <w:vAlign w:val="center"/>
          </w:tcPr>
          <w:p w:rsidR="00B36E17" w:rsidRPr="00976ACD" w:rsidRDefault="00B36E17" w:rsidP="00B36E17">
            <w:pPr>
              <w:spacing w:after="0" w:line="360" w:lineRule="auto"/>
              <w:jc w:val="center"/>
              <w:rPr>
                <w:rFonts w:cs="Arial"/>
              </w:rPr>
            </w:pPr>
            <w:r w:rsidRPr="00976ACD">
              <w:rPr>
                <w:rFonts w:cs="Arial"/>
              </w:rPr>
              <w:t>106,1</w:t>
            </w:r>
          </w:p>
        </w:tc>
        <w:tc>
          <w:tcPr>
            <w:tcW w:w="1187" w:type="dxa"/>
            <w:tcBorders>
              <w:top w:val="nil"/>
              <w:bottom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113,1</w:t>
            </w:r>
          </w:p>
        </w:tc>
        <w:tc>
          <w:tcPr>
            <w:tcW w:w="1110" w:type="dxa"/>
            <w:tcBorders>
              <w:top w:val="nil"/>
              <w:bottom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6,6</w:t>
            </w:r>
          </w:p>
        </w:tc>
      </w:tr>
      <w:tr w:rsidR="00B36E17" w:rsidRPr="009C573C" w:rsidTr="0045122F">
        <w:trPr>
          <w:trHeight w:val="19"/>
        </w:trPr>
        <w:tc>
          <w:tcPr>
            <w:tcW w:w="6737"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Autres articles et accessoires d'habillement</w:t>
            </w:r>
          </w:p>
        </w:tc>
        <w:tc>
          <w:tcPr>
            <w:tcW w:w="1187" w:type="dxa"/>
            <w:tcBorders>
              <w:top w:val="nil"/>
            </w:tcBorders>
            <w:vAlign w:val="center"/>
          </w:tcPr>
          <w:p w:rsidR="00B36E17" w:rsidRPr="004534F9" w:rsidRDefault="00B36E17" w:rsidP="00B36E17">
            <w:pPr>
              <w:spacing w:after="0" w:line="360" w:lineRule="auto"/>
              <w:jc w:val="center"/>
              <w:rPr>
                <w:rFonts w:cs="Arial"/>
              </w:rPr>
            </w:pPr>
            <w:r w:rsidRPr="004534F9">
              <w:rPr>
                <w:rFonts w:cs="Arial"/>
              </w:rPr>
              <w:t>100,8</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103,7</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109,2</w:t>
            </w:r>
          </w:p>
        </w:tc>
        <w:tc>
          <w:tcPr>
            <w:tcW w:w="1110" w:type="dxa"/>
            <w:tcBorders>
              <w:top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5,3</w:t>
            </w:r>
          </w:p>
        </w:tc>
      </w:tr>
      <w:tr w:rsidR="00B36E17" w:rsidRPr="009C573C" w:rsidTr="0045122F">
        <w:trPr>
          <w:trHeight w:val="19"/>
        </w:trPr>
        <w:tc>
          <w:tcPr>
            <w:tcW w:w="6737" w:type="dxa"/>
            <w:tcBorders>
              <w:top w:val="nil"/>
              <w:left w:val="single" w:sz="4" w:space="0" w:color="auto"/>
              <w:bottom w:val="nil"/>
            </w:tcBorders>
            <w:shd w:val="clear" w:color="auto" w:fill="auto"/>
            <w:vAlign w:val="center"/>
          </w:tcPr>
          <w:p w:rsidR="00B36E17" w:rsidRPr="009C573C" w:rsidRDefault="00B36E17" w:rsidP="00B36E17">
            <w:pPr>
              <w:spacing w:after="0" w:line="360" w:lineRule="auto"/>
              <w:rPr>
                <w:rFonts w:cs="Arial"/>
              </w:rPr>
            </w:pPr>
            <w:r w:rsidRPr="009C573C">
              <w:rPr>
                <w:rFonts w:cs="Arial"/>
              </w:rPr>
              <w:t>Nettoyage, réparation et location d'articles d'habillement</w:t>
            </w:r>
          </w:p>
        </w:tc>
        <w:tc>
          <w:tcPr>
            <w:tcW w:w="1187" w:type="dxa"/>
            <w:tcBorders>
              <w:top w:val="nil"/>
              <w:bottom w:val="nil"/>
            </w:tcBorders>
            <w:vAlign w:val="center"/>
          </w:tcPr>
          <w:p w:rsidR="00B36E17" w:rsidRPr="004534F9" w:rsidRDefault="00B36E17" w:rsidP="00B36E17">
            <w:pPr>
              <w:spacing w:after="0" w:line="360" w:lineRule="auto"/>
              <w:jc w:val="center"/>
              <w:rPr>
                <w:rFonts w:cs="Arial"/>
              </w:rPr>
            </w:pPr>
            <w:r w:rsidRPr="004534F9">
              <w:rPr>
                <w:rFonts w:cs="Arial"/>
              </w:rPr>
              <w:t>99,9</w:t>
            </w:r>
          </w:p>
        </w:tc>
        <w:tc>
          <w:tcPr>
            <w:tcW w:w="1187" w:type="dxa"/>
            <w:tcBorders>
              <w:top w:val="nil"/>
              <w:bottom w:val="nil"/>
            </w:tcBorders>
            <w:vAlign w:val="center"/>
          </w:tcPr>
          <w:p w:rsidR="00B36E17" w:rsidRPr="00976ACD" w:rsidRDefault="00B36E17" w:rsidP="00B36E17">
            <w:pPr>
              <w:spacing w:after="0" w:line="360" w:lineRule="auto"/>
              <w:jc w:val="center"/>
              <w:rPr>
                <w:rFonts w:cs="Arial"/>
              </w:rPr>
            </w:pPr>
            <w:r w:rsidRPr="00976ACD">
              <w:rPr>
                <w:rFonts w:cs="Arial"/>
              </w:rPr>
              <w:t>100,0</w:t>
            </w:r>
          </w:p>
        </w:tc>
        <w:tc>
          <w:tcPr>
            <w:tcW w:w="1187" w:type="dxa"/>
            <w:tcBorders>
              <w:top w:val="nil"/>
              <w:bottom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100,0</w:t>
            </w:r>
          </w:p>
        </w:tc>
        <w:tc>
          <w:tcPr>
            <w:tcW w:w="1110" w:type="dxa"/>
            <w:tcBorders>
              <w:top w:val="nil"/>
              <w:bottom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0,0</w:t>
            </w:r>
          </w:p>
        </w:tc>
      </w:tr>
      <w:tr w:rsidR="00B36E17" w:rsidRPr="009C573C" w:rsidTr="0045122F">
        <w:trPr>
          <w:trHeight w:val="345"/>
        </w:trPr>
        <w:tc>
          <w:tcPr>
            <w:tcW w:w="6737" w:type="dxa"/>
            <w:tcBorders>
              <w:top w:val="nil"/>
              <w:left w:val="single" w:sz="4" w:space="0" w:color="auto"/>
              <w:bottom w:val="nil"/>
            </w:tcBorders>
            <w:shd w:val="clear" w:color="auto" w:fill="auto"/>
            <w:vAlign w:val="center"/>
          </w:tcPr>
          <w:p w:rsidR="00B36E17" w:rsidRPr="009C573C" w:rsidRDefault="00B36E17" w:rsidP="00B36E17">
            <w:pPr>
              <w:spacing w:after="0" w:line="360" w:lineRule="auto"/>
              <w:rPr>
                <w:rFonts w:cs="Arial"/>
              </w:rPr>
            </w:pPr>
            <w:r w:rsidRPr="009C573C">
              <w:rPr>
                <w:rFonts w:cs="Arial"/>
              </w:rPr>
              <w:t>Chaussures</w:t>
            </w:r>
          </w:p>
        </w:tc>
        <w:tc>
          <w:tcPr>
            <w:tcW w:w="1187" w:type="dxa"/>
            <w:tcBorders>
              <w:top w:val="nil"/>
              <w:bottom w:val="nil"/>
            </w:tcBorders>
            <w:vAlign w:val="center"/>
          </w:tcPr>
          <w:p w:rsidR="00B36E17" w:rsidRPr="004534F9" w:rsidRDefault="00B36E17" w:rsidP="00B36E17">
            <w:pPr>
              <w:spacing w:after="0" w:line="360" w:lineRule="auto"/>
              <w:jc w:val="center"/>
              <w:rPr>
                <w:rFonts w:cs="Arial"/>
              </w:rPr>
            </w:pPr>
            <w:r w:rsidRPr="004534F9">
              <w:rPr>
                <w:rFonts w:cs="Arial"/>
              </w:rPr>
              <w:t>110,4</w:t>
            </w:r>
          </w:p>
        </w:tc>
        <w:tc>
          <w:tcPr>
            <w:tcW w:w="1187" w:type="dxa"/>
            <w:tcBorders>
              <w:top w:val="nil"/>
              <w:bottom w:val="nil"/>
            </w:tcBorders>
            <w:vAlign w:val="center"/>
          </w:tcPr>
          <w:p w:rsidR="00B36E17" w:rsidRPr="00976ACD" w:rsidRDefault="00B36E17" w:rsidP="00B36E17">
            <w:pPr>
              <w:spacing w:after="0" w:line="360" w:lineRule="auto"/>
              <w:jc w:val="center"/>
              <w:rPr>
                <w:rFonts w:cs="Arial"/>
              </w:rPr>
            </w:pPr>
            <w:r w:rsidRPr="00976ACD">
              <w:rPr>
                <w:rFonts w:cs="Arial"/>
              </w:rPr>
              <w:t>119,2</w:t>
            </w:r>
          </w:p>
        </w:tc>
        <w:tc>
          <w:tcPr>
            <w:tcW w:w="1187" w:type="dxa"/>
            <w:tcBorders>
              <w:top w:val="nil"/>
              <w:bottom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148,6</w:t>
            </w:r>
          </w:p>
        </w:tc>
        <w:tc>
          <w:tcPr>
            <w:tcW w:w="1110" w:type="dxa"/>
            <w:tcBorders>
              <w:top w:val="nil"/>
              <w:bottom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24,7</w:t>
            </w:r>
          </w:p>
        </w:tc>
      </w:tr>
      <w:tr w:rsidR="00B36E17" w:rsidRPr="009C573C" w:rsidTr="0045122F">
        <w:trPr>
          <w:trHeight w:val="364"/>
        </w:trPr>
        <w:tc>
          <w:tcPr>
            <w:tcW w:w="6737" w:type="dxa"/>
            <w:tcBorders>
              <w:top w:val="nil"/>
              <w:left w:val="single" w:sz="4" w:space="0" w:color="auto"/>
              <w:bottom w:val="nil"/>
            </w:tcBorders>
            <w:shd w:val="clear" w:color="auto" w:fill="auto"/>
            <w:vAlign w:val="center"/>
          </w:tcPr>
          <w:p w:rsidR="00B36E17" w:rsidRPr="009C573C" w:rsidRDefault="00B36E17" w:rsidP="00B36E17">
            <w:pPr>
              <w:spacing w:after="0" w:line="360" w:lineRule="auto"/>
              <w:rPr>
                <w:rFonts w:cs="Arial"/>
              </w:rPr>
            </w:pPr>
            <w:r w:rsidRPr="009C573C">
              <w:rPr>
                <w:rFonts w:cs="Arial"/>
              </w:rPr>
              <w:t>Chaussures diverses</w:t>
            </w:r>
          </w:p>
        </w:tc>
        <w:tc>
          <w:tcPr>
            <w:tcW w:w="1187" w:type="dxa"/>
            <w:tcBorders>
              <w:top w:val="nil"/>
              <w:bottom w:val="nil"/>
            </w:tcBorders>
            <w:vAlign w:val="center"/>
          </w:tcPr>
          <w:p w:rsidR="00B36E17" w:rsidRPr="004534F9" w:rsidRDefault="00B36E17" w:rsidP="00B36E17">
            <w:pPr>
              <w:spacing w:after="0" w:line="360" w:lineRule="auto"/>
              <w:jc w:val="center"/>
              <w:rPr>
                <w:rFonts w:cs="Arial"/>
              </w:rPr>
            </w:pPr>
            <w:r w:rsidRPr="004534F9">
              <w:rPr>
                <w:rFonts w:cs="Arial"/>
              </w:rPr>
              <w:t>110,5</w:t>
            </w:r>
          </w:p>
        </w:tc>
        <w:tc>
          <w:tcPr>
            <w:tcW w:w="1187" w:type="dxa"/>
            <w:tcBorders>
              <w:top w:val="nil"/>
              <w:bottom w:val="nil"/>
            </w:tcBorders>
            <w:vAlign w:val="center"/>
          </w:tcPr>
          <w:p w:rsidR="00B36E17" w:rsidRPr="00976ACD" w:rsidRDefault="00B36E17" w:rsidP="00B36E17">
            <w:pPr>
              <w:spacing w:after="0" w:line="360" w:lineRule="auto"/>
              <w:jc w:val="center"/>
              <w:rPr>
                <w:rFonts w:cs="Arial"/>
              </w:rPr>
            </w:pPr>
            <w:r w:rsidRPr="00976ACD">
              <w:rPr>
                <w:rFonts w:cs="Arial"/>
              </w:rPr>
              <w:t>119,3</w:t>
            </w:r>
          </w:p>
        </w:tc>
        <w:tc>
          <w:tcPr>
            <w:tcW w:w="1187" w:type="dxa"/>
            <w:tcBorders>
              <w:top w:val="nil"/>
              <w:bottom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148,8</w:t>
            </w:r>
          </w:p>
        </w:tc>
        <w:tc>
          <w:tcPr>
            <w:tcW w:w="1110" w:type="dxa"/>
            <w:tcBorders>
              <w:top w:val="nil"/>
              <w:bottom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24,7</w:t>
            </w:r>
          </w:p>
        </w:tc>
      </w:tr>
      <w:tr w:rsidR="00B36E17" w:rsidRPr="009C573C" w:rsidTr="0045122F">
        <w:trPr>
          <w:trHeight w:val="19"/>
        </w:trPr>
        <w:tc>
          <w:tcPr>
            <w:tcW w:w="6737" w:type="dxa"/>
            <w:tcBorders>
              <w:top w:val="nil"/>
              <w:left w:val="single" w:sz="4" w:space="0" w:color="auto"/>
              <w:bottom w:val="nil"/>
            </w:tcBorders>
            <w:shd w:val="clear" w:color="auto" w:fill="auto"/>
            <w:vAlign w:val="center"/>
          </w:tcPr>
          <w:p w:rsidR="00B36E17" w:rsidRPr="009C573C" w:rsidRDefault="00B36E17" w:rsidP="00B36E17">
            <w:pPr>
              <w:spacing w:after="0" w:line="360" w:lineRule="auto"/>
              <w:rPr>
                <w:rFonts w:cs="Arial"/>
              </w:rPr>
            </w:pPr>
            <w:r w:rsidRPr="009C573C">
              <w:rPr>
                <w:rFonts w:cs="Arial"/>
              </w:rPr>
              <w:t>Cordonnerie</w:t>
            </w:r>
          </w:p>
        </w:tc>
        <w:tc>
          <w:tcPr>
            <w:tcW w:w="1187" w:type="dxa"/>
            <w:tcBorders>
              <w:top w:val="nil"/>
              <w:bottom w:val="nil"/>
            </w:tcBorders>
            <w:vAlign w:val="center"/>
          </w:tcPr>
          <w:p w:rsidR="00B36E17" w:rsidRPr="004534F9" w:rsidRDefault="00B36E17" w:rsidP="00B36E17">
            <w:pPr>
              <w:spacing w:after="0" w:line="360" w:lineRule="auto"/>
              <w:jc w:val="center"/>
              <w:rPr>
                <w:rFonts w:cs="Arial"/>
              </w:rPr>
            </w:pPr>
            <w:r w:rsidRPr="004534F9">
              <w:rPr>
                <w:rFonts w:cs="Arial"/>
              </w:rPr>
              <w:t>99,9</w:t>
            </w:r>
          </w:p>
        </w:tc>
        <w:tc>
          <w:tcPr>
            <w:tcW w:w="1187" w:type="dxa"/>
            <w:tcBorders>
              <w:top w:val="nil"/>
              <w:bottom w:val="nil"/>
            </w:tcBorders>
            <w:vAlign w:val="center"/>
          </w:tcPr>
          <w:p w:rsidR="00B36E17" w:rsidRPr="00976ACD" w:rsidRDefault="00B36E17" w:rsidP="00B36E17">
            <w:pPr>
              <w:spacing w:after="0" w:line="360" w:lineRule="auto"/>
              <w:jc w:val="center"/>
              <w:rPr>
                <w:rFonts w:cs="Arial"/>
              </w:rPr>
            </w:pPr>
            <w:r w:rsidRPr="00976ACD">
              <w:rPr>
                <w:rFonts w:cs="Arial"/>
              </w:rPr>
              <w:t>100,0</w:t>
            </w:r>
          </w:p>
        </w:tc>
        <w:tc>
          <w:tcPr>
            <w:tcW w:w="1187" w:type="dxa"/>
            <w:tcBorders>
              <w:top w:val="nil"/>
              <w:bottom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100,0</w:t>
            </w:r>
          </w:p>
        </w:tc>
        <w:tc>
          <w:tcPr>
            <w:tcW w:w="1110" w:type="dxa"/>
            <w:tcBorders>
              <w:top w:val="nil"/>
              <w:bottom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0,0</w:t>
            </w:r>
          </w:p>
        </w:tc>
      </w:tr>
      <w:tr w:rsidR="00B36E17" w:rsidRPr="009C573C" w:rsidTr="0045122F">
        <w:trPr>
          <w:trHeight w:val="19"/>
        </w:trPr>
        <w:tc>
          <w:tcPr>
            <w:tcW w:w="6737" w:type="dxa"/>
            <w:tcBorders>
              <w:top w:val="nil"/>
              <w:left w:val="single" w:sz="4" w:space="0" w:color="auto"/>
              <w:bottom w:val="nil"/>
            </w:tcBorders>
            <w:shd w:val="clear" w:color="auto" w:fill="FABF8F" w:themeFill="accent6" w:themeFillTint="99"/>
            <w:vAlign w:val="center"/>
          </w:tcPr>
          <w:p w:rsidR="00B36E17" w:rsidRPr="009C573C" w:rsidRDefault="00B36E17" w:rsidP="00B36E17">
            <w:pPr>
              <w:spacing w:after="0"/>
              <w:rPr>
                <w:rFonts w:cs="Arial"/>
                <w:b/>
                <w:bCs/>
              </w:rPr>
            </w:pPr>
            <w:r w:rsidRPr="009C573C">
              <w:rPr>
                <w:rFonts w:cs="Arial"/>
                <w:b/>
                <w:bCs/>
              </w:rPr>
              <w:t>04-Logement, eau, gaz, électricité et autres combustibles</w:t>
            </w:r>
          </w:p>
        </w:tc>
        <w:tc>
          <w:tcPr>
            <w:tcW w:w="1187" w:type="dxa"/>
            <w:tcBorders>
              <w:top w:val="nil"/>
              <w:bottom w:val="nil"/>
            </w:tcBorders>
            <w:shd w:val="clear" w:color="auto" w:fill="FABF8F" w:themeFill="accent6" w:themeFillTint="99"/>
            <w:vAlign w:val="center"/>
          </w:tcPr>
          <w:p w:rsidR="00B36E17" w:rsidRPr="00976ACD" w:rsidRDefault="00B36E17" w:rsidP="00B36E17">
            <w:pPr>
              <w:spacing w:after="0"/>
              <w:jc w:val="center"/>
              <w:rPr>
                <w:rFonts w:eastAsia="Times New Roman" w:cs="Arial"/>
                <w:b/>
                <w:bCs/>
              </w:rPr>
            </w:pPr>
            <w:r w:rsidRPr="00976ACD">
              <w:rPr>
                <w:rFonts w:eastAsia="Times New Roman" w:cs="Arial"/>
                <w:b/>
                <w:bCs/>
              </w:rPr>
              <w:t>100,7</w:t>
            </w:r>
          </w:p>
        </w:tc>
        <w:tc>
          <w:tcPr>
            <w:tcW w:w="1187" w:type="dxa"/>
            <w:tcBorders>
              <w:top w:val="nil"/>
              <w:bottom w:val="nil"/>
            </w:tcBorders>
            <w:shd w:val="clear" w:color="auto" w:fill="FABF8F" w:themeFill="accent6" w:themeFillTint="99"/>
            <w:vAlign w:val="center"/>
          </w:tcPr>
          <w:p w:rsidR="00B36E17" w:rsidRPr="00976ACD" w:rsidRDefault="00B36E17" w:rsidP="00B36E17">
            <w:pPr>
              <w:spacing w:after="0"/>
              <w:jc w:val="center"/>
              <w:rPr>
                <w:rFonts w:eastAsia="Times New Roman" w:cs="Arial"/>
                <w:b/>
                <w:bCs/>
              </w:rPr>
            </w:pPr>
            <w:r w:rsidRPr="00976ACD">
              <w:rPr>
                <w:rFonts w:eastAsia="Times New Roman" w:cs="Arial"/>
                <w:b/>
                <w:bCs/>
              </w:rPr>
              <w:t>101,4</w:t>
            </w:r>
          </w:p>
        </w:tc>
        <w:tc>
          <w:tcPr>
            <w:tcW w:w="1187" w:type="dxa"/>
            <w:tcBorders>
              <w:top w:val="nil"/>
              <w:bottom w:val="nil"/>
            </w:tcBorders>
            <w:shd w:val="clear" w:color="auto" w:fill="FABF8F" w:themeFill="accent6" w:themeFillTint="99"/>
            <w:noWrap/>
            <w:vAlign w:val="center"/>
          </w:tcPr>
          <w:p w:rsidR="00B36E17" w:rsidRPr="0045122F" w:rsidRDefault="00B36E17" w:rsidP="0045122F">
            <w:pPr>
              <w:spacing w:after="0"/>
              <w:jc w:val="center"/>
              <w:rPr>
                <w:rFonts w:eastAsia="Times New Roman" w:cs="Arial"/>
                <w:b/>
                <w:bCs/>
              </w:rPr>
            </w:pPr>
            <w:r w:rsidRPr="0045122F">
              <w:rPr>
                <w:rFonts w:eastAsia="Times New Roman" w:cs="Arial"/>
                <w:b/>
                <w:bCs/>
              </w:rPr>
              <w:t>102,8</w:t>
            </w:r>
          </w:p>
        </w:tc>
        <w:tc>
          <w:tcPr>
            <w:tcW w:w="1110" w:type="dxa"/>
            <w:tcBorders>
              <w:top w:val="nil"/>
              <w:bottom w:val="nil"/>
              <w:right w:val="single" w:sz="4" w:space="0" w:color="auto"/>
            </w:tcBorders>
            <w:shd w:val="clear" w:color="auto" w:fill="FABF8F" w:themeFill="accent6" w:themeFillTint="99"/>
            <w:noWrap/>
            <w:vAlign w:val="center"/>
          </w:tcPr>
          <w:p w:rsidR="00B36E17" w:rsidRPr="0045122F" w:rsidRDefault="00B36E17" w:rsidP="0045122F">
            <w:pPr>
              <w:spacing w:after="0"/>
              <w:jc w:val="center"/>
              <w:rPr>
                <w:rFonts w:eastAsia="Times New Roman" w:cs="Arial"/>
                <w:b/>
                <w:bCs/>
              </w:rPr>
            </w:pPr>
            <w:r w:rsidRPr="0045122F">
              <w:rPr>
                <w:rFonts w:eastAsia="Times New Roman" w:cs="Arial"/>
                <w:b/>
                <w:bCs/>
              </w:rPr>
              <w:t>1,4</w:t>
            </w:r>
          </w:p>
        </w:tc>
      </w:tr>
      <w:tr w:rsidR="00B36E17" w:rsidRPr="009C573C" w:rsidTr="0045122F">
        <w:trPr>
          <w:trHeight w:val="19"/>
        </w:trPr>
        <w:tc>
          <w:tcPr>
            <w:tcW w:w="6737"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Loyers effectifs</w:t>
            </w:r>
          </w:p>
        </w:tc>
        <w:tc>
          <w:tcPr>
            <w:tcW w:w="1187" w:type="dxa"/>
            <w:tcBorders>
              <w:top w:val="nil"/>
            </w:tcBorders>
            <w:vAlign w:val="center"/>
          </w:tcPr>
          <w:p w:rsidR="00B36E17" w:rsidRPr="004534F9" w:rsidRDefault="00B36E17" w:rsidP="00B36E17">
            <w:pPr>
              <w:spacing w:after="0" w:line="360" w:lineRule="auto"/>
              <w:jc w:val="center"/>
              <w:rPr>
                <w:rFonts w:cs="Arial"/>
              </w:rPr>
            </w:pPr>
            <w:r w:rsidRPr="004534F9">
              <w:rPr>
                <w:rFonts w:cs="Arial"/>
              </w:rPr>
              <w:t>101,9</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104,1</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105,2</w:t>
            </w:r>
          </w:p>
        </w:tc>
        <w:tc>
          <w:tcPr>
            <w:tcW w:w="1110" w:type="dxa"/>
            <w:tcBorders>
              <w:top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w:t>
            </w:r>
          </w:p>
        </w:tc>
      </w:tr>
      <w:tr w:rsidR="00B36E17" w:rsidRPr="009C573C" w:rsidTr="0045122F">
        <w:trPr>
          <w:trHeight w:val="247"/>
        </w:trPr>
        <w:tc>
          <w:tcPr>
            <w:tcW w:w="6737"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Loyers effectivement payés par les locataires</w:t>
            </w:r>
          </w:p>
        </w:tc>
        <w:tc>
          <w:tcPr>
            <w:tcW w:w="1187" w:type="dxa"/>
            <w:tcBorders>
              <w:top w:val="nil"/>
            </w:tcBorders>
            <w:vAlign w:val="center"/>
          </w:tcPr>
          <w:p w:rsidR="00B36E17" w:rsidRPr="004534F9" w:rsidRDefault="00B36E17" w:rsidP="00B36E17">
            <w:pPr>
              <w:spacing w:after="0" w:line="360" w:lineRule="auto"/>
              <w:jc w:val="center"/>
              <w:rPr>
                <w:rFonts w:cs="Arial"/>
              </w:rPr>
            </w:pPr>
            <w:r w:rsidRPr="004534F9">
              <w:rPr>
                <w:rFonts w:cs="Arial"/>
              </w:rPr>
              <w:t>101,9</w:t>
            </w:r>
          </w:p>
        </w:tc>
        <w:tc>
          <w:tcPr>
            <w:tcW w:w="1187" w:type="dxa"/>
            <w:tcBorders>
              <w:top w:val="nil"/>
            </w:tcBorders>
            <w:vAlign w:val="center"/>
          </w:tcPr>
          <w:p w:rsidR="00B36E17" w:rsidRPr="00976ACD" w:rsidRDefault="00B36E17" w:rsidP="00B36E17">
            <w:pPr>
              <w:spacing w:after="0" w:line="360" w:lineRule="auto"/>
              <w:jc w:val="center"/>
              <w:rPr>
                <w:rFonts w:cs="Arial"/>
              </w:rPr>
            </w:pPr>
            <w:r w:rsidRPr="00976ACD">
              <w:rPr>
                <w:rFonts w:cs="Arial"/>
              </w:rPr>
              <w:t>104,1</w:t>
            </w:r>
          </w:p>
        </w:tc>
        <w:tc>
          <w:tcPr>
            <w:tcW w:w="1187" w:type="dxa"/>
            <w:tcBorders>
              <w:top w:val="nil"/>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105,2</w:t>
            </w:r>
          </w:p>
        </w:tc>
        <w:tc>
          <w:tcPr>
            <w:tcW w:w="1110" w:type="dxa"/>
            <w:tcBorders>
              <w:top w:val="nil"/>
              <w:right w:val="single" w:sz="4" w:space="0" w:color="auto"/>
            </w:tcBorders>
            <w:shd w:val="clear" w:color="auto" w:fill="auto"/>
            <w:noWrap/>
            <w:vAlign w:val="center"/>
          </w:tcPr>
          <w:p w:rsidR="00B36E17" w:rsidRPr="00B36E17" w:rsidRDefault="00B36E17" w:rsidP="00B36E17">
            <w:pPr>
              <w:spacing w:after="0" w:line="360" w:lineRule="auto"/>
              <w:jc w:val="center"/>
              <w:rPr>
                <w:rFonts w:cs="Arial"/>
              </w:rPr>
            </w:pPr>
            <w:r w:rsidRPr="00B36E17">
              <w:rPr>
                <w:rFonts w:cs="Arial"/>
              </w:rPr>
              <w:t>1,1</w:t>
            </w:r>
          </w:p>
        </w:tc>
      </w:tr>
      <w:tr w:rsidR="00B36E17" w:rsidRPr="009C573C" w:rsidTr="0045122F">
        <w:trPr>
          <w:trHeight w:val="106"/>
        </w:trPr>
        <w:tc>
          <w:tcPr>
            <w:tcW w:w="6737" w:type="dxa"/>
            <w:tcBorders>
              <w:top w:val="nil"/>
              <w:left w:val="single" w:sz="4" w:space="0" w:color="auto"/>
              <w:bottom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Entretien et réparation de logement</w:t>
            </w:r>
          </w:p>
        </w:tc>
        <w:tc>
          <w:tcPr>
            <w:tcW w:w="1187" w:type="dxa"/>
            <w:tcBorders>
              <w:top w:val="nil"/>
              <w:bottom w:val="single" w:sz="4" w:space="0" w:color="auto"/>
            </w:tcBorders>
            <w:vAlign w:val="center"/>
          </w:tcPr>
          <w:p w:rsidR="00B36E17" w:rsidRPr="004534F9" w:rsidRDefault="00B36E17" w:rsidP="00B36E17">
            <w:pPr>
              <w:spacing w:after="0" w:line="240" w:lineRule="auto"/>
              <w:jc w:val="center"/>
              <w:rPr>
                <w:rFonts w:cs="Arial"/>
              </w:rPr>
            </w:pPr>
            <w:r w:rsidRPr="004534F9">
              <w:rPr>
                <w:rFonts w:cs="Arial"/>
              </w:rPr>
              <w:t>99,9</w:t>
            </w:r>
          </w:p>
        </w:tc>
        <w:tc>
          <w:tcPr>
            <w:tcW w:w="1187" w:type="dxa"/>
            <w:tcBorders>
              <w:top w:val="nil"/>
              <w:bottom w:val="single" w:sz="4" w:space="0" w:color="auto"/>
            </w:tcBorders>
            <w:vAlign w:val="center"/>
          </w:tcPr>
          <w:p w:rsidR="00B36E17" w:rsidRPr="00976ACD" w:rsidRDefault="00B36E17" w:rsidP="00B36E17">
            <w:pPr>
              <w:spacing w:after="0" w:line="240" w:lineRule="auto"/>
              <w:jc w:val="center"/>
              <w:rPr>
                <w:rFonts w:cs="Arial"/>
              </w:rPr>
            </w:pPr>
            <w:r w:rsidRPr="00976ACD">
              <w:rPr>
                <w:rFonts w:cs="Arial"/>
              </w:rPr>
              <w:t>100,0</w:t>
            </w:r>
          </w:p>
        </w:tc>
        <w:tc>
          <w:tcPr>
            <w:tcW w:w="1187" w:type="dxa"/>
            <w:tcBorders>
              <w:top w:val="nil"/>
              <w:bottom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109,8</w:t>
            </w:r>
          </w:p>
        </w:tc>
        <w:tc>
          <w:tcPr>
            <w:tcW w:w="1110" w:type="dxa"/>
            <w:tcBorders>
              <w:top w:val="nil"/>
              <w:bottom w:val="single" w:sz="4" w:space="0" w:color="auto"/>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9,8</w:t>
            </w:r>
          </w:p>
        </w:tc>
      </w:tr>
    </w:tbl>
    <w:p w:rsidR="00787334" w:rsidRDefault="00787334" w:rsidP="0045122F">
      <w:pPr>
        <w:spacing w:after="0"/>
        <w:ind w:right="-1136"/>
        <w:jc w:val="center"/>
        <w:rPr>
          <w:b/>
          <w:bCs/>
          <w:color w:val="E36C0A" w:themeColor="accent6" w:themeShade="BF"/>
        </w:rPr>
      </w:pPr>
      <w:bookmarkStart w:id="31" w:name="_GoBack"/>
      <w:bookmarkEnd w:id="31"/>
    </w:p>
    <w:p w:rsidR="009933E4" w:rsidRPr="009C573C" w:rsidRDefault="009933E4" w:rsidP="009933E4">
      <w:pPr>
        <w:spacing w:after="0"/>
        <w:jc w:val="center"/>
        <w:rPr>
          <w:b/>
          <w:bCs/>
          <w:color w:val="E36C0A" w:themeColor="accent6" w:themeShade="BF"/>
        </w:rPr>
      </w:pPr>
      <w:r w:rsidRPr="009C573C">
        <w:rPr>
          <w:b/>
          <w:bCs/>
          <w:color w:val="E36C0A" w:themeColor="accent6" w:themeShade="BF"/>
        </w:rPr>
        <w:t xml:space="preserve">Tableau 2 : Indice des prix à la consommation par division, groupe et classe </w:t>
      </w:r>
    </w:p>
    <w:p w:rsidR="009933E4" w:rsidRPr="009C573C" w:rsidRDefault="009933E4" w:rsidP="009933E4">
      <w:pPr>
        <w:spacing w:after="0"/>
        <w:jc w:val="center"/>
        <w:rPr>
          <w:b/>
          <w:bCs/>
          <w:color w:val="E36C0A" w:themeColor="accent6" w:themeShade="BF"/>
        </w:rPr>
      </w:pPr>
      <w:r w:rsidRPr="009C573C">
        <w:rPr>
          <w:b/>
          <w:bCs/>
          <w:color w:val="E36C0A" w:themeColor="accent6" w:themeShade="BF"/>
        </w:rPr>
        <w:t xml:space="preserve">Ville de </w:t>
      </w:r>
      <w:r w:rsidR="004E1B6B" w:rsidRPr="009C573C">
        <w:rPr>
          <w:b/>
          <w:bCs/>
          <w:color w:val="E36C0A" w:themeColor="accent6" w:themeShade="BF"/>
        </w:rPr>
        <w:t>Rabat (</w:t>
      </w:r>
      <w:r w:rsidRPr="009C573C">
        <w:rPr>
          <w:b/>
          <w:bCs/>
          <w:color w:val="E36C0A" w:themeColor="accent6" w:themeShade="BF"/>
        </w:rPr>
        <w:t>Suite)</w:t>
      </w:r>
    </w:p>
    <w:tbl>
      <w:tblPr>
        <w:tblW w:w="11366" w:type="dxa"/>
        <w:tblInd w:w="-923" w:type="dxa"/>
        <w:tblCellMar>
          <w:left w:w="70" w:type="dxa"/>
          <w:right w:w="70" w:type="dxa"/>
        </w:tblCellMar>
        <w:tblLook w:val="04A0"/>
      </w:tblPr>
      <w:tblGrid>
        <w:gridCol w:w="6646"/>
        <w:gridCol w:w="1152"/>
        <w:gridCol w:w="1152"/>
        <w:gridCol w:w="1152"/>
        <w:gridCol w:w="1264"/>
      </w:tblGrid>
      <w:tr w:rsidR="00386743" w:rsidRPr="009C573C" w:rsidTr="009B2235">
        <w:trPr>
          <w:trHeight w:val="495"/>
        </w:trPr>
        <w:tc>
          <w:tcPr>
            <w:tcW w:w="6646" w:type="dxa"/>
            <w:tcBorders>
              <w:top w:val="single" w:sz="4" w:space="0" w:color="auto"/>
              <w:left w:val="single" w:sz="4" w:space="0" w:color="auto"/>
              <w:bottom w:val="single" w:sz="4" w:space="0" w:color="auto"/>
            </w:tcBorders>
            <w:shd w:val="clear" w:color="auto" w:fill="F79646" w:themeFill="accent6"/>
            <w:vAlign w:val="center"/>
            <w:hideMark/>
          </w:tcPr>
          <w:p w:rsidR="00386743" w:rsidRPr="009C573C" w:rsidRDefault="00386743" w:rsidP="00386743">
            <w:pPr>
              <w:spacing w:after="0" w:line="240" w:lineRule="auto"/>
              <w:rPr>
                <w:rFonts w:cs="Arial"/>
                <w:b/>
                <w:bCs/>
              </w:rPr>
            </w:pPr>
            <w:r w:rsidRPr="009C573C">
              <w:rPr>
                <w:rFonts w:cs="Arial"/>
                <w:b/>
                <w:bCs/>
              </w:rPr>
              <w:t>DIVISIONS, GROUPES ET CLASSES</w:t>
            </w:r>
          </w:p>
        </w:tc>
        <w:tc>
          <w:tcPr>
            <w:tcW w:w="1152" w:type="dxa"/>
            <w:tcBorders>
              <w:top w:val="single" w:sz="4" w:space="0" w:color="auto"/>
              <w:bottom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2020</w:t>
            </w:r>
          </w:p>
        </w:tc>
        <w:tc>
          <w:tcPr>
            <w:tcW w:w="1152" w:type="dxa"/>
            <w:tcBorders>
              <w:top w:val="single" w:sz="4" w:space="0" w:color="auto"/>
              <w:bottom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2021</w:t>
            </w:r>
          </w:p>
        </w:tc>
        <w:tc>
          <w:tcPr>
            <w:tcW w:w="1152" w:type="dxa"/>
            <w:tcBorders>
              <w:top w:val="single" w:sz="4" w:space="0" w:color="auto"/>
              <w:bottom w:val="single" w:sz="4" w:space="0" w:color="auto"/>
            </w:tcBorders>
            <w:shd w:val="clear" w:color="auto" w:fill="F79646" w:themeFill="accent6"/>
            <w:noWrap/>
            <w:vAlign w:val="center"/>
            <w:hideMark/>
          </w:tcPr>
          <w:p w:rsidR="00386743" w:rsidRPr="009C573C" w:rsidRDefault="00386743" w:rsidP="00386743">
            <w:pPr>
              <w:spacing w:after="0" w:line="240" w:lineRule="auto"/>
              <w:jc w:val="center"/>
              <w:rPr>
                <w:rFonts w:cs="Arial"/>
                <w:b/>
                <w:bCs/>
              </w:rPr>
            </w:pPr>
            <w:r>
              <w:rPr>
                <w:rFonts w:cs="Arial"/>
                <w:b/>
                <w:bCs/>
              </w:rPr>
              <w:t>2022</w:t>
            </w:r>
          </w:p>
        </w:tc>
        <w:tc>
          <w:tcPr>
            <w:tcW w:w="1264" w:type="dxa"/>
            <w:tcBorders>
              <w:top w:val="single" w:sz="4" w:space="0" w:color="auto"/>
              <w:bottom w:val="single" w:sz="4" w:space="0" w:color="auto"/>
              <w:right w:val="single" w:sz="4" w:space="0" w:color="auto"/>
            </w:tcBorders>
            <w:shd w:val="clear" w:color="auto" w:fill="F79646" w:themeFill="accent6"/>
            <w:noWrap/>
            <w:vAlign w:val="center"/>
            <w:hideMark/>
          </w:tcPr>
          <w:p w:rsidR="00386743" w:rsidRPr="009C573C" w:rsidRDefault="000E06B1" w:rsidP="000E06B1">
            <w:pPr>
              <w:spacing w:after="0" w:line="240" w:lineRule="auto"/>
              <w:jc w:val="center"/>
              <w:rPr>
                <w:rFonts w:cs="Arial"/>
                <w:b/>
                <w:bCs/>
              </w:rPr>
            </w:pPr>
            <w:r w:rsidRPr="009C573C">
              <w:rPr>
                <w:rFonts w:cs="Arial"/>
                <w:b/>
                <w:bCs/>
              </w:rPr>
              <w:t>VAR (%)</w:t>
            </w:r>
            <w:r>
              <w:rPr>
                <w:rFonts w:cs="Arial"/>
                <w:b/>
                <w:bCs/>
              </w:rPr>
              <w:t xml:space="preserve"> (2022/2021)</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Fournitures pour travaux d'entretien et de réparation des logements</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101,2</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102,3</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122,2</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19,5</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Services concernant l'entretien et les réparations du logement</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99,4</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99,2</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105,4</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6,3</w:t>
            </w:r>
          </w:p>
        </w:tc>
      </w:tr>
      <w:tr w:rsidR="00B36E17" w:rsidRPr="009C573C" w:rsidTr="009B2235">
        <w:trPr>
          <w:trHeight w:val="461"/>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Alimentation en eau et services divers lies au logement</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100,0</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Alimentation en eau et assainissement</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100,0</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 xml:space="preserve">Collecte des ordures ménagères </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100,0</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ind w:left="-211" w:firstLine="211"/>
              <w:rPr>
                <w:rFonts w:cs="Arial"/>
              </w:rPr>
            </w:pPr>
            <w:r w:rsidRPr="009C573C">
              <w:rPr>
                <w:rFonts w:cs="Arial"/>
              </w:rPr>
              <w:t>Services divers lies au logement n.c.a</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100,0</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Electricité, gaz et autres combustibles</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100,2</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100,4</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100,5</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0,1</w:t>
            </w:r>
          </w:p>
        </w:tc>
      </w:tr>
      <w:tr w:rsidR="00B36E17" w:rsidRPr="009C573C" w:rsidTr="009B2235">
        <w:trPr>
          <w:trHeight w:val="48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Electricité</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100,0</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4534F9" w:rsidRDefault="00B36E17" w:rsidP="00B36E17">
            <w:pPr>
              <w:spacing w:after="0" w:line="240" w:lineRule="auto"/>
              <w:rPr>
                <w:rFonts w:cs="Arial"/>
              </w:rPr>
            </w:pPr>
            <w:r w:rsidRPr="004534F9">
              <w:rPr>
                <w:rFonts w:cs="Arial"/>
              </w:rPr>
              <w:t>Gaz</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100,6</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100,6</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100,6</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20"/>
        </w:trPr>
        <w:tc>
          <w:tcPr>
            <w:tcW w:w="6646" w:type="dxa"/>
            <w:tcBorders>
              <w:top w:val="nil"/>
              <w:left w:val="single" w:sz="4" w:space="0" w:color="auto"/>
            </w:tcBorders>
            <w:shd w:val="clear" w:color="auto" w:fill="auto"/>
            <w:vAlign w:val="center"/>
          </w:tcPr>
          <w:p w:rsidR="00B36E17" w:rsidRPr="004534F9" w:rsidRDefault="00B36E17" w:rsidP="00B36E17">
            <w:pPr>
              <w:spacing w:after="0" w:line="240" w:lineRule="auto"/>
              <w:rPr>
                <w:rFonts w:cs="Arial"/>
              </w:rPr>
            </w:pPr>
            <w:r w:rsidRPr="004534F9">
              <w:rPr>
                <w:rFonts w:cs="Arial"/>
              </w:rPr>
              <w:t>Combustibles solides</w:t>
            </w:r>
          </w:p>
        </w:tc>
        <w:tc>
          <w:tcPr>
            <w:tcW w:w="1152" w:type="dxa"/>
            <w:tcBorders>
              <w:top w:val="nil"/>
            </w:tcBorders>
            <w:vAlign w:val="center"/>
          </w:tcPr>
          <w:p w:rsidR="00B36E17" w:rsidRPr="004534F9" w:rsidRDefault="00B36E17" w:rsidP="00B36E17">
            <w:pPr>
              <w:spacing w:after="0" w:line="240" w:lineRule="auto"/>
              <w:jc w:val="center"/>
              <w:rPr>
                <w:rFonts w:cs="Arial"/>
              </w:rPr>
            </w:pPr>
            <w:r w:rsidRPr="004534F9">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104,2</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108,3</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3,9</w:t>
            </w:r>
          </w:p>
        </w:tc>
      </w:tr>
      <w:tr w:rsidR="00B36E17" w:rsidRPr="009C573C" w:rsidTr="009B2235">
        <w:trPr>
          <w:trHeight w:val="420"/>
        </w:trPr>
        <w:tc>
          <w:tcPr>
            <w:tcW w:w="6646" w:type="dxa"/>
            <w:tcBorders>
              <w:top w:val="nil"/>
              <w:left w:val="single" w:sz="4" w:space="0" w:color="auto"/>
            </w:tcBorders>
            <w:shd w:val="clear" w:color="auto" w:fill="FABF8F" w:themeFill="accent6" w:themeFillTint="99"/>
            <w:vAlign w:val="center"/>
          </w:tcPr>
          <w:p w:rsidR="00B36E17" w:rsidRPr="009C573C" w:rsidRDefault="00B36E17" w:rsidP="00B36E17">
            <w:pPr>
              <w:spacing w:after="0"/>
              <w:rPr>
                <w:rFonts w:cs="Arial"/>
                <w:b/>
                <w:bCs/>
              </w:rPr>
            </w:pPr>
            <w:r w:rsidRPr="009C573C">
              <w:rPr>
                <w:rFonts w:cs="Arial"/>
                <w:b/>
                <w:bCs/>
              </w:rPr>
              <w:t>05-Meubles, articles de ménage et entretien courant du foyer</w:t>
            </w:r>
          </w:p>
        </w:tc>
        <w:tc>
          <w:tcPr>
            <w:tcW w:w="1152" w:type="dxa"/>
            <w:tcBorders>
              <w:top w:val="nil"/>
            </w:tcBorders>
            <w:shd w:val="clear" w:color="auto" w:fill="FABF8F" w:themeFill="accent6" w:themeFillTint="99"/>
            <w:vAlign w:val="center"/>
          </w:tcPr>
          <w:p w:rsidR="00B36E17" w:rsidRPr="00BB7E8F" w:rsidRDefault="00B36E17" w:rsidP="00B36E17">
            <w:pPr>
              <w:spacing w:after="0"/>
              <w:jc w:val="center"/>
              <w:rPr>
                <w:rFonts w:cs="Arial"/>
                <w:b/>
                <w:bCs/>
              </w:rPr>
            </w:pPr>
            <w:r w:rsidRPr="00BB7E8F">
              <w:rPr>
                <w:rFonts w:cs="Arial"/>
                <w:b/>
                <w:bCs/>
              </w:rPr>
              <w:t>101,0</w:t>
            </w:r>
          </w:p>
        </w:tc>
        <w:tc>
          <w:tcPr>
            <w:tcW w:w="1152" w:type="dxa"/>
            <w:tcBorders>
              <w:top w:val="nil"/>
            </w:tcBorders>
            <w:shd w:val="clear" w:color="auto" w:fill="FABF8F" w:themeFill="accent6" w:themeFillTint="99"/>
            <w:vAlign w:val="center"/>
          </w:tcPr>
          <w:p w:rsidR="00B36E17" w:rsidRPr="003046C6" w:rsidRDefault="00B36E17" w:rsidP="00B36E17">
            <w:pPr>
              <w:spacing w:after="0"/>
              <w:jc w:val="center"/>
              <w:rPr>
                <w:rFonts w:cs="Arial"/>
                <w:b/>
                <w:bCs/>
              </w:rPr>
            </w:pPr>
            <w:r w:rsidRPr="003046C6">
              <w:rPr>
                <w:rFonts w:cs="Arial"/>
                <w:b/>
                <w:bCs/>
              </w:rPr>
              <w:t>100,9</w:t>
            </w:r>
          </w:p>
        </w:tc>
        <w:tc>
          <w:tcPr>
            <w:tcW w:w="1152" w:type="dxa"/>
            <w:tcBorders>
              <w:top w:val="nil"/>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102,2</w:t>
            </w:r>
          </w:p>
        </w:tc>
        <w:tc>
          <w:tcPr>
            <w:tcW w:w="1264" w:type="dxa"/>
            <w:tcBorders>
              <w:top w:val="nil"/>
              <w:right w:val="single" w:sz="4" w:space="0" w:color="auto"/>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1,3</w:t>
            </w:r>
          </w:p>
        </w:tc>
      </w:tr>
      <w:tr w:rsidR="00B36E17" w:rsidRPr="009C573C" w:rsidTr="009B2235">
        <w:trPr>
          <w:trHeight w:val="48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Meubles, articles d'ameublement, tapis et autres revêtements</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107,2</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108,1</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115,5</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6,8</w:t>
            </w:r>
          </w:p>
        </w:tc>
      </w:tr>
      <w:tr w:rsidR="00B36E17" w:rsidRPr="009C573C" w:rsidTr="009B2235">
        <w:trPr>
          <w:trHeight w:val="480"/>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Meubles et articles d'ameublement</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110,2</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111,4</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121,9</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9,4</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Tapis et revêtements de sol divers</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100,0</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100,1</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100,1</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Articles de ménage en textiles</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100,7</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97,7</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99,1</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1,4</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Articles de ménage en textiles</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100,7</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97,7</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99,1</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1,4</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Appareils ménagers</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99,7</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98,4</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99,6</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1,2</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Gros appareils ménagers, électriques ou non</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99,7</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98,2</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99,4</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1,2</w:t>
            </w:r>
          </w:p>
        </w:tc>
      </w:tr>
      <w:tr w:rsidR="00B36E17" w:rsidRPr="009C573C" w:rsidTr="009B2235">
        <w:trPr>
          <w:trHeight w:val="405"/>
        </w:trPr>
        <w:tc>
          <w:tcPr>
            <w:tcW w:w="6646" w:type="dxa"/>
            <w:tcBorders>
              <w:top w:val="nil"/>
              <w:left w:val="single" w:sz="4" w:space="0" w:color="auto"/>
              <w:bottom w:val="nil"/>
            </w:tcBorders>
            <w:shd w:val="clear" w:color="auto" w:fill="auto"/>
            <w:vAlign w:val="center"/>
          </w:tcPr>
          <w:p w:rsidR="00B36E17" w:rsidRPr="009C573C" w:rsidRDefault="00B36E17" w:rsidP="00B36E17">
            <w:pPr>
              <w:spacing w:after="0" w:line="240" w:lineRule="auto"/>
              <w:rPr>
                <w:rFonts w:cs="Arial"/>
              </w:rPr>
            </w:pPr>
            <w:r w:rsidRPr="009C573C">
              <w:rPr>
                <w:rFonts w:cs="Arial"/>
              </w:rPr>
              <w:t>Petits appareils électroménagers</w:t>
            </w:r>
          </w:p>
        </w:tc>
        <w:tc>
          <w:tcPr>
            <w:tcW w:w="1152" w:type="dxa"/>
            <w:tcBorders>
              <w:top w:val="nil"/>
              <w:bottom w:val="nil"/>
            </w:tcBorders>
            <w:vAlign w:val="center"/>
          </w:tcPr>
          <w:p w:rsidR="00B36E17" w:rsidRPr="00BB7E8F" w:rsidRDefault="00B36E17" w:rsidP="00B36E17">
            <w:pPr>
              <w:spacing w:after="0" w:line="240" w:lineRule="auto"/>
              <w:jc w:val="center"/>
              <w:rPr>
                <w:rFonts w:cs="Arial"/>
              </w:rPr>
            </w:pPr>
            <w:r w:rsidRPr="00BB7E8F">
              <w:rPr>
                <w:rFonts w:cs="Arial"/>
              </w:rPr>
              <w:t>101,1</w:t>
            </w:r>
          </w:p>
        </w:tc>
        <w:tc>
          <w:tcPr>
            <w:tcW w:w="1152" w:type="dxa"/>
            <w:tcBorders>
              <w:top w:val="nil"/>
              <w:bottom w:val="nil"/>
            </w:tcBorders>
            <w:vAlign w:val="center"/>
          </w:tcPr>
          <w:p w:rsidR="00B36E17" w:rsidRPr="003046C6" w:rsidRDefault="00B36E17" w:rsidP="00B36E17">
            <w:pPr>
              <w:spacing w:after="0" w:line="240" w:lineRule="auto"/>
              <w:jc w:val="center"/>
              <w:rPr>
                <w:rFonts w:cs="Arial"/>
              </w:rPr>
            </w:pPr>
            <w:r w:rsidRPr="003046C6">
              <w:rPr>
                <w:rFonts w:cs="Arial"/>
              </w:rPr>
              <w:t>102,5</w:t>
            </w:r>
          </w:p>
        </w:tc>
        <w:tc>
          <w:tcPr>
            <w:tcW w:w="1152" w:type="dxa"/>
            <w:tcBorders>
              <w:top w:val="nil"/>
              <w:bottom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103,3</w:t>
            </w:r>
          </w:p>
        </w:tc>
        <w:tc>
          <w:tcPr>
            <w:tcW w:w="1264" w:type="dxa"/>
            <w:tcBorders>
              <w:top w:val="nil"/>
              <w:bottom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0,8</w:t>
            </w:r>
          </w:p>
        </w:tc>
      </w:tr>
      <w:tr w:rsidR="00B36E17" w:rsidRPr="009C573C" w:rsidTr="009B2235">
        <w:trPr>
          <w:trHeight w:val="405"/>
        </w:trPr>
        <w:tc>
          <w:tcPr>
            <w:tcW w:w="6646" w:type="dxa"/>
            <w:tcBorders>
              <w:top w:val="nil"/>
              <w:left w:val="single" w:sz="4" w:space="0" w:color="auto"/>
              <w:bottom w:val="nil"/>
            </w:tcBorders>
            <w:shd w:val="clear" w:color="auto" w:fill="auto"/>
            <w:vAlign w:val="center"/>
          </w:tcPr>
          <w:p w:rsidR="00B36E17" w:rsidRPr="009C573C" w:rsidRDefault="00B36E17" w:rsidP="00B36E17">
            <w:pPr>
              <w:spacing w:after="0" w:line="240" w:lineRule="auto"/>
              <w:rPr>
                <w:rFonts w:cs="Arial"/>
              </w:rPr>
            </w:pPr>
            <w:r w:rsidRPr="009C573C">
              <w:rPr>
                <w:rFonts w:cs="Arial"/>
              </w:rPr>
              <w:t>Réparation d'appareils ménagers</w:t>
            </w:r>
          </w:p>
        </w:tc>
        <w:tc>
          <w:tcPr>
            <w:tcW w:w="1152" w:type="dxa"/>
            <w:tcBorders>
              <w:top w:val="nil"/>
              <w:bottom w:val="nil"/>
            </w:tcBorders>
            <w:vAlign w:val="center"/>
          </w:tcPr>
          <w:p w:rsidR="00B36E17" w:rsidRPr="00BB7E8F" w:rsidRDefault="00B36E17" w:rsidP="00B36E17">
            <w:pPr>
              <w:spacing w:after="0" w:line="240" w:lineRule="auto"/>
              <w:jc w:val="center"/>
              <w:rPr>
                <w:rFonts w:cs="Arial"/>
              </w:rPr>
            </w:pPr>
            <w:r w:rsidRPr="00BB7E8F">
              <w:rPr>
                <w:rFonts w:cs="Arial"/>
              </w:rPr>
              <w:t>100,3</w:t>
            </w:r>
          </w:p>
        </w:tc>
        <w:tc>
          <w:tcPr>
            <w:tcW w:w="1152" w:type="dxa"/>
            <w:tcBorders>
              <w:top w:val="nil"/>
              <w:bottom w:val="nil"/>
            </w:tcBorders>
            <w:vAlign w:val="center"/>
          </w:tcPr>
          <w:p w:rsidR="00B36E17" w:rsidRPr="003046C6" w:rsidRDefault="00B36E17" w:rsidP="00B36E17">
            <w:pPr>
              <w:spacing w:after="0" w:line="240" w:lineRule="auto"/>
              <w:jc w:val="center"/>
              <w:rPr>
                <w:rFonts w:cs="Arial"/>
              </w:rPr>
            </w:pPr>
            <w:r w:rsidRPr="003046C6">
              <w:rPr>
                <w:rFonts w:cs="Arial"/>
              </w:rPr>
              <w:t>100,2</w:t>
            </w:r>
          </w:p>
        </w:tc>
        <w:tc>
          <w:tcPr>
            <w:tcW w:w="1152" w:type="dxa"/>
            <w:tcBorders>
              <w:top w:val="nil"/>
              <w:bottom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105,9</w:t>
            </w:r>
          </w:p>
        </w:tc>
        <w:tc>
          <w:tcPr>
            <w:tcW w:w="1264" w:type="dxa"/>
            <w:tcBorders>
              <w:top w:val="nil"/>
              <w:bottom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5,7</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Verrerie, vaisselle et ustensiles de ménage</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100,5</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100,4</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100,6</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0,2</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Verrerie, vaisselle et ustensiles de ménage</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100,5</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100,4</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100,6</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0,2</w:t>
            </w:r>
          </w:p>
        </w:tc>
      </w:tr>
      <w:tr w:rsidR="00B36E17" w:rsidRPr="009C573C" w:rsidTr="009B2235">
        <w:trPr>
          <w:trHeight w:val="405"/>
        </w:trPr>
        <w:tc>
          <w:tcPr>
            <w:tcW w:w="6646" w:type="dxa"/>
            <w:tcBorders>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Outillage et autre matériel pour la maison et le jardin</w:t>
            </w:r>
          </w:p>
        </w:tc>
        <w:tc>
          <w:tcPr>
            <w:tcW w:w="1152" w:type="dxa"/>
            <w:vAlign w:val="center"/>
          </w:tcPr>
          <w:p w:rsidR="00B36E17" w:rsidRPr="00BB7E8F" w:rsidRDefault="00B36E17" w:rsidP="00B36E17">
            <w:pPr>
              <w:spacing w:after="0" w:line="240" w:lineRule="auto"/>
              <w:jc w:val="center"/>
              <w:rPr>
                <w:rFonts w:cs="Arial"/>
              </w:rPr>
            </w:pPr>
            <w:r w:rsidRPr="00BB7E8F">
              <w:rPr>
                <w:rFonts w:cs="Arial"/>
              </w:rPr>
              <w:t>100,6</w:t>
            </w:r>
          </w:p>
        </w:tc>
        <w:tc>
          <w:tcPr>
            <w:tcW w:w="1152" w:type="dxa"/>
            <w:vAlign w:val="center"/>
          </w:tcPr>
          <w:p w:rsidR="00B36E17" w:rsidRPr="003046C6" w:rsidRDefault="00B36E17" w:rsidP="00B36E17">
            <w:pPr>
              <w:spacing w:after="0" w:line="240" w:lineRule="auto"/>
              <w:jc w:val="center"/>
              <w:rPr>
                <w:rFonts w:cs="Arial"/>
              </w:rPr>
            </w:pPr>
            <w:r w:rsidRPr="003046C6">
              <w:rPr>
                <w:rFonts w:cs="Arial"/>
              </w:rPr>
              <w:t>113,7</w:t>
            </w:r>
          </w:p>
        </w:tc>
        <w:tc>
          <w:tcPr>
            <w:tcW w:w="1152" w:type="dxa"/>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120,8</w:t>
            </w:r>
          </w:p>
        </w:tc>
        <w:tc>
          <w:tcPr>
            <w:tcW w:w="1264" w:type="dxa"/>
            <w:tcBorders>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6,2</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Petit outillage et accessoires divers</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100,6</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113,7</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120,8</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6,2</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line="240" w:lineRule="auto"/>
              <w:rPr>
                <w:rFonts w:cs="Arial"/>
              </w:rPr>
            </w:pPr>
            <w:r w:rsidRPr="009C573C">
              <w:rPr>
                <w:rFonts w:cs="Arial"/>
              </w:rPr>
              <w:t>Biens et services liés</w:t>
            </w:r>
            <w:r>
              <w:rPr>
                <w:rFonts w:cs="Arial"/>
              </w:rPr>
              <w:t xml:space="preserve"> à</w:t>
            </w:r>
            <w:r w:rsidRPr="009C573C">
              <w:rPr>
                <w:rFonts w:cs="Arial"/>
              </w:rPr>
              <w:t xml:space="preserve"> l'entretien courant du foyer</w:t>
            </w:r>
          </w:p>
        </w:tc>
        <w:tc>
          <w:tcPr>
            <w:tcW w:w="1152" w:type="dxa"/>
            <w:tcBorders>
              <w:top w:val="nil"/>
            </w:tcBorders>
            <w:vAlign w:val="center"/>
          </w:tcPr>
          <w:p w:rsidR="00B36E17" w:rsidRPr="00BB7E8F" w:rsidRDefault="00B36E17" w:rsidP="00B36E17">
            <w:pPr>
              <w:spacing w:after="0" w:line="240" w:lineRule="auto"/>
              <w:jc w:val="center"/>
              <w:rPr>
                <w:rFonts w:cs="Arial"/>
              </w:rPr>
            </w:pPr>
            <w:r w:rsidRPr="00BB7E8F">
              <w:rPr>
                <w:rFonts w:cs="Arial"/>
              </w:rPr>
              <w:t>10</w:t>
            </w:r>
            <w:r>
              <w:rPr>
                <w:rFonts w:cs="Arial"/>
              </w:rPr>
              <w:t>0</w:t>
            </w:r>
            <w:r w:rsidRPr="00BB7E8F">
              <w:rPr>
                <w:rFonts w:cs="Arial"/>
              </w:rPr>
              <w:t>,</w:t>
            </w:r>
            <w:r>
              <w:rPr>
                <w:rFonts w:cs="Arial"/>
              </w:rPr>
              <w:t>2</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100,2</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100,2</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05"/>
        </w:trPr>
        <w:tc>
          <w:tcPr>
            <w:tcW w:w="6646"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Biens d'équipement ménager non durables</w:t>
            </w:r>
          </w:p>
        </w:tc>
        <w:tc>
          <w:tcPr>
            <w:tcW w:w="1152" w:type="dxa"/>
            <w:tcBorders>
              <w:top w:val="nil"/>
            </w:tcBorders>
            <w:vAlign w:val="center"/>
          </w:tcPr>
          <w:p w:rsidR="00B36E17" w:rsidRPr="002E0A88" w:rsidRDefault="00B36E17" w:rsidP="00B36E17">
            <w:pPr>
              <w:spacing w:after="0"/>
              <w:jc w:val="center"/>
              <w:rPr>
                <w:rFonts w:cs="Arial"/>
              </w:rPr>
            </w:pPr>
            <w:r w:rsidRPr="002E0A88">
              <w:rPr>
                <w:rFonts w:cs="Arial"/>
              </w:rPr>
              <w:t>100,</w:t>
            </w:r>
            <w:r>
              <w:rPr>
                <w:rFonts w:cs="Arial"/>
              </w:rPr>
              <w:t>4</w:t>
            </w:r>
          </w:p>
        </w:tc>
        <w:tc>
          <w:tcPr>
            <w:tcW w:w="1152" w:type="dxa"/>
            <w:tcBorders>
              <w:top w:val="nil"/>
            </w:tcBorders>
            <w:vAlign w:val="center"/>
          </w:tcPr>
          <w:p w:rsidR="00B36E17" w:rsidRPr="003046C6" w:rsidRDefault="00B36E17" w:rsidP="00B36E17">
            <w:pPr>
              <w:spacing w:after="0" w:line="240" w:lineRule="auto"/>
              <w:jc w:val="center"/>
              <w:rPr>
                <w:rFonts w:cs="Arial"/>
              </w:rPr>
            </w:pPr>
            <w:r w:rsidRPr="003046C6">
              <w:rPr>
                <w:rFonts w:cs="Arial"/>
              </w:rPr>
              <w:t>100,3</w:t>
            </w:r>
          </w:p>
        </w:tc>
        <w:tc>
          <w:tcPr>
            <w:tcW w:w="1152" w:type="dxa"/>
            <w:tcBorders>
              <w:top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100,4</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0,1</w:t>
            </w:r>
          </w:p>
        </w:tc>
      </w:tr>
      <w:tr w:rsidR="00B36E17" w:rsidRPr="009C573C" w:rsidTr="009B2235">
        <w:trPr>
          <w:trHeight w:val="405"/>
        </w:trPr>
        <w:tc>
          <w:tcPr>
            <w:tcW w:w="6646" w:type="dxa"/>
            <w:tcBorders>
              <w:top w:val="nil"/>
              <w:left w:val="single" w:sz="4" w:space="0" w:color="auto"/>
              <w:bottom w:val="nil"/>
            </w:tcBorders>
            <w:shd w:val="clear" w:color="auto" w:fill="auto"/>
            <w:vAlign w:val="center"/>
          </w:tcPr>
          <w:p w:rsidR="00B36E17" w:rsidRPr="009C573C" w:rsidRDefault="00B36E17" w:rsidP="00B36E17">
            <w:pPr>
              <w:spacing w:after="0"/>
              <w:rPr>
                <w:rFonts w:cs="Arial"/>
              </w:rPr>
            </w:pPr>
            <w:r w:rsidRPr="009C573C">
              <w:rPr>
                <w:rFonts w:cs="Arial"/>
              </w:rPr>
              <w:t>Services domestiques et services ménagers</w:t>
            </w:r>
          </w:p>
        </w:tc>
        <w:tc>
          <w:tcPr>
            <w:tcW w:w="1152" w:type="dxa"/>
            <w:tcBorders>
              <w:top w:val="nil"/>
              <w:bottom w:val="nil"/>
            </w:tcBorders>
            <w:vAlign w:val="center"/>
          </w:tcPr>
          <w:p w:rsidR="00B36E17" w:rsidRPr="002E0A88" w:rsidRDefault="00B36E17" w:rsidP="00B36E17">
            <w:pPr>
              <w:spacing w:after="0"/>
              <w:jc w:val="center"/>
              <w:rPr>
                <w:rFonts w:cs="Arial"/>
              </w:rPr>
            </w:pPr>
            <w:r w:rsidRPr="002E0A88">
              <w:rPr>
                <w:rFonts w:cs="Arial"/>
              </w:rPr>
              <w:t>100,</w:t>
            </w:r>
            <w:r>
              <w:rPr>
                <w:rFonts w:cs="Arial"/>
              </w:rPr>
              <w:t>0</w:t>
            </w:r>
          </w:p>
        </w:tc>
        <w:tc>
          <w:tcPr>
            <w:tcW w:w="1152" w:type="dxa"/>
            <w:tcBorders>
              <w:top w:val="nil"/>
              <w:bottom w:val="nil"/>
            </w:tcBorders>
            <w:vAlign w:val="center"/>
          </w:tcPr>
          <w:p w:rsidR="00B36E17" w:rsidRPr="003046C6" w:rsidRDefault="00B36E17" w:rsidP="00B36E17">
            <w:pPr>
              <w:spacing w:after="0" w:line="240" w:lineRule="auto"/>
              <w:jc w:val="center"/>
              <w:rPr>
                <w:rFonts w:cs="Arial"/>
              </w:rPr>
            </w:pPr>
            <w:r w:rsidRPr="003046C6">
              <w:rPr>
                <w:rFonts w:cs="Arial"/>
              </w:rPr>
              <w:t>100,0</w:t>
            </w:r>
          </w:p>
        </w:tc>
        <w:tc>
          <w:tcPr>
            <w:tcW w:w="1152" w:type="dxa"/>
            <w:tcBorders>
              <w:top w:val="nil"/>
              <w:bottom w:val="nil"/>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100,0</w:t>
            </w:r>
          </w:p>
        </w:tc>
        <w:tc>
          <w:tcPr>
            <w:tcW w:w="1264" w:type="dxa"/>
            <w:tcBorders>
              <w:top w:val="nil"/>
              <w:bottom w:val="nil"/>
              <w:right w:val="single" w:sz="4" w:space="0" w:color="auto"/>
            </w:tcBorders>
            <w:shd w:val="clear" w:color="auto" w:fill="auto"/>
            <w:noWrap/>
            <w:vAlign w:val="center"/>
          </w:tcPr>
          <w:p w:rsidR="00B36E17" w:rsidRPr="00B36E17" w:rsidRDefault="00B36E17" w:rsidP="00B36E17">
            <w:pPr>
              <w:spacing w:after="0" w:line="240" w:lineRule="auto"/>
              <w:jc w:val="center"/>
              <w:rPr>
                <w:rFonts w:cs="Arial"/>
              </w:rPr>
            </w:pPr>
            <w:r w:rsidRPr="00B36E17">
              <w:rPr>
                <w:rFonts w:cs="Arial"/>
              </w:rPr>
              <w:t>0,0</w:t>
            </w:r>
          </w:p>
        </w:tc>
      </w:tr>
      <w:tr w:rsidR="00B36E17" w:rsidRPr="009C573C" w:rsidTr="009B2235">
        <w:trPr>
          <w:trHeight w:val="405"/>
        </w:trPr>
        <w:tc>
          <w:tcPr>
            <w:tcW w:w="6646" w:type="dxa"/>
            <w:tcBorders>
              <w:top w:val="nil"/>
              <w:left w:val="single" w:sz="4" w:space="0" w:color="auto"/>
            </w:tcBorders>
            <w:shd w:val="clear" w:color="auto" w:fill="FABF8F" w:themeFill="accent6" w:themeFillTint="99"/>
            <w:vAlign w:val="center"/>
          </w:tcPr>
          <w:p w:rsidR="00B36E17" w:rsidRPr="009C573C" w:rsidRDefault="00B36E17" w:rsidP="00B36E17">
            <w:pPr>
              <w:spacing w:after="0"/>
              <w:rPr>
                <w:rFonts w:cs="Arial"/>
                <w:b/>
                <w:bCs/>
              </w:rPr>
            </w:pPr>
            <w:r w:rsidRPr="009C573C">
              <w:rPr>
                <w:rFonts w:cs="Arial"/>
                <w:b/>
                <w:bCs/>
              </w:rPr>
              <w:t>06-S</w:t>
            </w:r>
            <w:r>
              <w:rPr>
                <w:rFonts w:cs="Arial"/>
                <w:b/>
                <w:bCs/>
              </w:rPr>
              <w:t>anté</w:t>
            </w:r>
          </w:p>
        </w:tc>
        <w:tc>
          <w:tcPr>
            <w:tcW w:w="1152" w:type="dxa"/>
            <w:tcBorders>
              <w:top w:val="nil"/>
            </w:tcBorders>
            <w:shd w:val="clear" w:color="auto" w:fill="FABF8F" w:themeFill="accent6" w:themeFillTint="99"/>
            <w:vAlign w:val="center"/>
          </w:tcPr>
          <w:p w:rsidR="00B36E17" w:rsidRPr="002E0A88" w:rsidRDefault="00B36E17" w:rsidP="00B36E17">
            <w:pPr>
              <w:spacing w:after="0"/>
              <w:jc w:val="center"/>
              <w:rPr>
                <w:rFonts w:cs="Arial"/>
                <w:b/>
                <w:bCs/>
              </w:rPr>
            </w:pPr>
            <w:r w:rsidRPr="002E0A88">
              <w:rPr>
                <w:rFonts w:cs="Arial"/>
                <w:b/>
                <w:bCs/>
              </w:rPr>
              <w:t>102,7</w:t>
            </w:r>
          </w:p>
        </w:tc>
        <w:tc>
          <w:tcPr>
            <w:tcW w:w="1152" w:type="dxa"/>
            <w:tcBorders>
              <w:top w:val="nil"/>
            </w:tcBorders>
            <w:shd w:val="clear" w:color="auto" w:fill="FABF8F" w:themeFill="accent6" w:themeFillTint="99"/>
            <w:vAlign w:val="center"/>
          </w:tcPr>
          <w:p w:rsidR="00B36E17" w:rsidRPr="003046C6" w:rsidRDefault="00B36E17" w:rsidP="00B36E17">
            <w:pPr>
              <w:spacing w:after="0"/>
              <w:jc w:val="center"/>
              <w:rPr>
                <w:rFonts w:cs="Arial"/>
                <w:b/>
                <w:bCs/>
              </w:rPr>
            </w:pPr>
            <w:r w:rsidRPr="003046C6">
              <w:rPr>
                <w:rFonts w:cs="Arial"/>
                <w:b/>
                <w:bCs/>
              </w:rPr>
              <w:t>102,7</w:t>
            </w:r>
          </w:p>
        </w:tc>
        <w:tc>
          <w:tcPr>
            <w:tcW w:w="1152" w:type="dxa"/>
            <w:tcBorders>
              <w:top w:val="nil"/>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102,6</w:t>
            </w:r>
          </w:p>
        </w:tc>
        <w:tc>
          <w:tcPr>
            <w:tcW w:w="1264" w:type="dxa"/>
            <w:tcBorders>
              <w:top w:val="nil"/>
              <w:right w:val="single" w:sz="4" w:space="0" w:color="auto"/>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-0,1</w:t>
            </w:r>
          </w:p>
        </w:tc>
      </w:tr>
      <w:tr w:rsidR="00B36E17" w:rsidRPr="009C573C" w:rsidTr="009B2235">
        <w:trPr>
          <w:trHeight w:val="405"/>
        </w:trPr>
        <w:tc>
          <w:tcPr>
            <w:tcW w:w="6646" w:type="dxa"/>
            <w:tcBorders>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Produits, appareils et matériels médicaux</w:t>
            </w:r>
          </w:p>
        </w:tc>
        <w:tc>
          <w:tcPr>
            <w:tcW w:w="1152" w:type="dxa"/>
            <w:vAlign w:val="center"/>
          </w:tcPr>
          <w:p w:rsidR="00B36E17" w:rsidRPr="002E0A88" w:rsidRDefault="00B36E17" w:rsidP="00B36E17">
            <w:pPr>
              <w:spacing w:after="0"/>
              <w:jc w:val="center"/>
              <w:rPr>
                <w:rFonts w:cs="Arial"/>
              </w:rPr>
            </w:pPr>
            <w:r w:rsidRPr="002E0A88">
              <w:rPr>
                <w:rFonts w:cs="Arial"/>
              </w:rPr>
              <w:t>98,1</w:t>
            </w:r>
          </w:p>
        </w:tc>
        <w:tc>
          <w:tcPr>
            <w:tcW w:w="1152" w:type="dxa"/>
            <w:vAlign w:val="center"/>
          </w:tcPr>
          <w:p w:rsidR="00B36E17" w:rsidRPr="003046C6" w:rsidRDefault="00B36E17" w:rsidP="00B36E17">
            <w:pPr>
              <w:spacing w:after="0"/>
              <w:jc w:val="center"/>
              <w:rPr>
                <w:rFonts w:cs="Arial"/>
              </w:rPr>
            </w:pPr>
            <w:r w:rsidRPr="003046C6">
              <w:rPr>
                <w:rFonts w:cs="Arial"/>
              </w:rPr>
              <w:t>97,4</w:t>
            </w:r>
          </w:p>
        </w:tc>
        <w:tc>
          <w:tcPr>
            <w:tcW w:w="1152" w:type="dxa"/>
            <w:shd w:val="clear" w:color="auto" w:fill="auto"/>
            <w:noWrap/>
            <w:vAlign w:val="center"/>
          </w:tcPr>
          <w:p w:rsidR="00B36E17" w:rsidRPr="00B36E17" w:rsidRDefault="00B36E17" w:rsidP="00B36E17">
            <w:pPr>
              <w:spacing w:after="0"/>
              <w:jc w:val="center"/>
              <w:rPr>
                <w:rFonts w:cs="Arial"/>
              </w:rPr>
            </w:pPr>
            <w:r w:rsidRPr="00B36E17">
              <w:rPr>
                <w:rFonts w:cs="Arial"/>
              </w:rPr>
              <w:t>96,8</w:t>
            </w:r>
          </w:p>
        </w:tc>
        <w:tc>
          <w:tcPr>
            <w:tcW w:w="1264" w:type="dxa"/>
            <w:tcBorders>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-0,6</w:t>
            </w:r>
          </w:p>
        </w:tc>
      </w:tr>
      <w:tr w:rsidR="00B36E17" w:rsidRPr="009C573C" w:rsidTr="009B2235">
        <w:trPr>
          <w:trHeight w:val="405"/>
        </w:trPr>
        <w:tc>
          <w:tcPr>
            <w:tcW w:w="6646" w:type="dxa"/>
            <w:tcBorders>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Produits pharmaceutiques</w:t>
            </w:r>
          </w:p>
        </w:tc>
        <w:tc>
          <w:tcPr>
            <w:tcW w:w="1152" w:type="dxa"/>
            <w:vAlign w:val="center"/>
          </w:tcPr>
          <w:p w:rsidR="00B36E17" w:rsidRPr="002E0A88" w:rsidRDefault="00B36E17" w:rsidP="00B36E17">
            <w:pPr>
              <w:spacing w:after="0"/>
              <w:jc w:val="center"/>
              <w:rPr>
                <w:rFonts w:cs="Arial"/>
              </w:rPr>
            </w:pPr>
            <w:r w:rsidRPr="002E0A88">
              <w:rPr>
                <w:rFonts w:cs="Arial"/>
              </w:rPr>
              <w:t>98,1</w:t>
            </w:r>
          </w:p>
        </w:tc>
        <w:tc>
          <w:tcPr>
            <w:tcW w:w="1152" w:type="dxa"/>
            <w:vAlign w:val="center"/>
          </w:tcPr>
          <w:p w:rsidR="00B36E17" w:rsidRPr="003046C6" w:rsidRDefault="00B36E17" w:rsidP="00B36E17">
            <w:pPr>
              <w:spacing w:after="0"/>
              <w:jc w:val="center"/>
              <w:rPr>
                <w:rFonts w:cs="Arial"/>
              </w:rPr>
            </w:pPr>
            <w:r w:rsidRPr="003046C6">
              <w:rPr>
                <w:rFonts w:cs="Arial"/>
              </w:rPr>
              <w:t>97,3</w:t>
            </w:r>
          </w:p>
        </w:tc>
        <w:tc>
          <w:tcPr>
            <w:tcW w:w="1152" w:type="dxa"/>
            <w:shd w:val="clear" w:color="auto" w:fill="auto"/>
            <w:noWrap/>
            <w:vAlign w:val="center"/>
          </w:tcPr>
          <w:p w:rsidR="00B36E17" w:rsidRPr="00B36E17" w:rsidRDefault="00B36E17" w:rsidP="00B36E17">
            <w:pPr>
              <w:spacing w:after="0"/>
              <w:jc w:val="center"/>
              <w:rPr>
                <w:rFonts w:cs="Arial"/>
              </w:rPr>
            </w:pPr>
            <w:r w:rsidRPr="00B36E17">
              <w:rPr>
                <w:rFonts w:cs="Arial"/>
              </w:rPr>
              <w:t>96,6</w:t>
            </w:r>
          </w:p>
        </w:tc>
        <w:tc>
          <w:tcPr>
            <w:tcW w:w="1264" w:type="dxa"/>
            <w:tcBorders>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-0,7</w:t>
            </w:r>
          </w:p>
        </w:tc>
      </w:tr>
      <w:tr w:rsidR="00B36E17" w:rsidRPr="009C573C" w:rsidTr="009B2235">
        <w:trPr>
          <w:trHeight w:val="405"/>
        </w:trPr>
        <w:tc>
          <w:tcPr>
            <w:tcW w:w="6646" w:type="dxa"/>
            <w:tcBorders>
              <w:left w:val="single" w:sz="4" w:space="0" w:color="auto"/>
              <w:bottom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Produits médicaux divers</w:t>
            </w:r>
          </w:p>
        </w:tc>
        <w:tc>
          <w:tcPr>
            <w:tcW w:w="1152" w:type="dxa"/>
            <w:tcBorders>
              <w:bottom w:val="single" w:sz="4" w:space="0" w:color="auto"/>
            </w:tcBorders>
            <w:vAlign w:val="center"/>
          </w:tcPr>
          <w:p w:rsidR="00B36E17" w:rsidRPr="002E0A88" w:rsidRDefault="00B36E17" w:rsidP="00B36E17">
            <w:pPr>
              <w:spacing w:after="0"/>
              <w:jc w:val="center"/>
              <w:rPr>
                <w:rFonts w:cs="Arial"/>
              </w:rPr>
            </w:pPr>
            <w:r w:rsidRPr="002E0A88">
              <w:rPr>
                <w:rFonts w:cs="Arial"/>
              </w:rPr>
              <w:t>99,0</w:t>
            </w:r>
          </w:p>
        </w:tc>
        <w:tc>
          <w:tcPr>
            <w:tcW w:w="1152" w:type="dxa"/>
            <w:tcBorders>
              <w:bottom w:val="single" w:sz="4" w:space="0" w:color="auto"/>
            </w:tcBorders>
            <w:vAlign w:val="center"/>
          </w:tcPr>
          <w:p w:rsidR="00B36E17" w:rsidRPr="003046C6" w:rsidRDefault="00B36E17" w:rsidP="00B36E17">
            <w:pPr>
              <w:spacing w:after="0"/>
              <w:jc w:val="center"/>
              <w:rPr>
                <w:rFonts w:cs="Arial"/>
              </w:rPr>
            </w:pPr>
            <w:r w:rsidRPr="003046C6">
              <w:rPr>
                <w:rFonts w:cs="Arial"/>
              </w:rPr>
              <w:t>99,0</w:t>
            </w:r>
          </w:p>
        </w:tc>
        <w:tc>
          <w:tcPr>
            <w:tcW w:w="1152" w:type="dxa"/>
            <w:tcBorders>
              <w:bottom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107,3</w:t>
            </w:r>
          </w:p>
        </w:tc>
        <w:tc>
          <w:tcPr>
            <w:tcW w:w="1264" w:type="dxa"/>
            <w:tcBorders>
              <w:bottom w:val="single" w:sz="4" w:space="0" w:color="auto"/>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8,4</w:t>
            </w:r>
          </w:p>
        </w:tc>
      </w:tr>
    </w:tbl>
    <w:p w:rsidR="00E209BB" w:rsidRDefault="00E209BB" w:rsidP="004E1B6B">
      <w:pPr>
        <w:spacing w:after="0"/>
        <w:ind w:right="-284"/>
        <w:jc w:val="right"/>
        <w:rPr>
          <w:b/>
          <w:bCs/>
          <w:sz w:val="16"/>
          <w:szCs w:val="16"/>
        </w:rPr>
      </w:pPr>
      <w:r w:rsidRPr="00E209BB">
        <w:rPr>
          <w:b/>
          <w:bCs/>
          <w:sz w:val="16"/>
          <w:szCs w:val="16"/>
        </w:rPr>
        <w:t>Source : HCP</w:t>
      </w:r>
    </w:p>
    <w:p w:rsidR="0082112D" w:rsidRPr="009C573C" w:rsidRDefault="0082112D" w:rsidP="0082112D">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82112D" w:rsidRDefault="002B2E9A" w:rsidP="0082112D">
      <w:pPr>
        <w:spacing w:after="0"/>
        <w:jc w:val="center"/>
        <w:rPr>
          <w:b/>
          <w:bCs/>
          <w:color w:val="E36C0A" w:themeColor="accent6" w:themeShade="BF"/>
        </w:rPr>
      </w:pPr>
      <w:r>
        <w:rPr>
          <w:b/>
          <w:bCs/>
          <w:color w:val="E36C0A" w:themeColor="accent6" w:themeShade="BF"/>
        </w:rPr>
        <w:t xml:space="preserve">Ville de </w:t>
      </w:r>
      <w:r w:rsidR="004E1B6B">
        <w:rPr>
          <w:b/>
          <w:bCs/>
          <w:color w:val="E36C0A" w:themeColor="accent6" w:themeShade="BF"/>
        </w:rPr>
        <w:t xml:space="preserve">Rabat </w:t>
      </w:r>
      <w:r w:rsidR="004E1B6B" w:rsidRPr="009C573C">
        <w:rPr>
          <w:b/>
          <w:bCs/>
          <w:color w:val="E36C0A" w:themeColor="accent6" w:themeShade="BF"/>
        </w:rPr>
        <w:t>(</w:t>
      </w:r>
      <w:r w:rsidR="0082112D" w:rsidRPr="009C573C">
        <w:rPr>
          <w:b/>
          <w:bCs/>
          <w:color w:val="E36C0A" w:themeColor="accent6" w:themeShade="BF"/>
        </w:rPr>
        <w:t>Suite)</w:t>
      </w:r>
    </w:p>
    <w:tbl>
      <w:tblPr>
        <w:tblW w:w="11344" w:type="dxa"/>
        <w:tblInd w:w="-923" w:type="dxa"/>
        <w:tblCellMar>
          <w:left w:w="70" w:type="dxa"/>
          <w:right w:w="70" w:type="dxa"/>
        </w:tblCellMar>
        <w:tblLook w:val="04A0"/>
      </w:tblPr>
      <w:tblGrid>
        <w:gridCol w:w="6675"/>
        <w:gridCol w:w="1135"/>
        <w:gridCol w:w="1135"/>
        <w:gridCol w:w="1135"/>
        <w:gridCol w:w="1264"/>
      </w:tblGrid>
      <w:tr w:rsidR="00386743" w:rsidRPr="009C573C" w:rsidTr="00386743">
        <w:trPr>
          <w:trHeight w:val="505"/>
        </w:trPr>
        <w:tc>
          <w:tcPr>
            <w:tcW w:w="6675" w:type="dxa"/>
            <w:tcBorders>
              <w:top w:val="single" w:sz="4" w:space="0" w:color="auto"/>
              <w:left w:val="single" w:sz="4" w:space="0" w:color="auto"/>
            </w:tcBorders>
            <w:shd w:val="clear" w:color="auto" w:fill="F79646" w:themeFill="accent6"/>
            <w:vAlign w:val="center"/>
            <w:hideMark/>
          </w:tcPr>
          <w:p w:rsidR="00386743" w:rsidRPr="009C573C" w:rsidRDefault="00386743" w:rsidP="00386743">
            <w:pPr>
              <w:spacing w:after="0" w:line="240" w:lineRule="auto"/>
              <w:rPr>
                <w:rFonts w:cs="Arial"/>
                <w:b/>
                <w:bCs/>
              </w:rPr>
            </w:pPr>
            <w:r w:rsidRPr="009C573C">
              <w:rPr>
                <w:rFonts w:cs="Arial"/>
                <w:b/>
                <w:bCs/>
              </w:rPr>
              <w:t>DIVISIONS, GROUPES ET CLASSES</w:t>
            </w:r>
          </w:p>
        </w:tc>
        <w:tc>
          <w:tcPr>
            <w:tcW w:w="1135" w:type="dxa"/>
            <w:tcBorders>
              <w:top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2020</w:t>
            </w:r>
          </w:p>
        </w:tc>
        <w:tc>
          <w:tcPr>
            <w:tcW w:w="1135" w:type="dxa"/>
            <w:tcBorders>
              <w:top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2021</w:t>
            </w:r>
          </w:p>
        </w:tc>
        <w:tc>
          <w:tcPr>
            <w:tcW w:w="1135" w:type="dxa"/>
            <w:tcBorders>
              <w:top w:val="single" w:sz="4" w:space="0" w:color="auto"/>
            </w:tcBorders>
            <w:shd w:val="clear" w:color="auto" w:fill="F79646" w:themeFill="accent6"/>
            <w:noWrap/>
            <w:vAlign w:val="center"/>
          </w:tcPr>
          <w:p w:rsidR="00386743" w:rsidRPr="009C573C" w:rsidRDefault="00386743" w:rsidP="00386743">
            <w:pPr>
              <w:spacing w:after="0" w:line="240" w:lineRule="auto"/>
              <w:jc w:val="center"/>
              <w:rPr>
                <w:rFonts w:cs="Arial"/>
                <w:b/>
                <w:bCs/>
              </w:rPr>
            </w:pPr>
            <w:r>
              <w:rPr>
                <w:rFonts w:cs="Arial"/>
                <w:b/>
                <w:bCs/>
              </w:rPr>
              <w:t>2022</w:t>
            </w:r>
          </w:p>
        </w:tc>
        <w:tc>
          <w:tcPr>
            <w:tcW w:w="1264" w:type="dxa"/>
            <w:tcBorders>
              <w:top w:val="single" w:sz="4" w:space="0" w:color="auto"/>
              <w:right w:val="single" w:sz="4" w:space="0" w:color="auto"/>
            </w:tcBorders>
            <w:shd w:val="clear" w:color="auto" w:fill="F79646" w:themeFill="accent6"/>
            <w:noWrap/>
            <w:vAlign w:val="center"/>
            <w:hideMark/>
          </w:tcPr>
          <w:p w:rsidR="00386743" w:rsidRPr="009C573C" w:rsidRDefault="00386743" w:rsidP="000E06B1">
            <w:pPr>
              <w:spacing w:after="0" w:line="240" w:lineRule="auto"/>
              <w:jc w:val="center"/>
              <w:rPr>
                <w:rFonts w:cs="Arial"/>
                <w:b/>
                <w:bCs/>
              </w:rPr>
            </w:pPr>
            <w:r w:rsidRPr="009C573C">
              <w:rPr>
                <w:rFonts w:cs="Arial"/>
                <w:b/>
                <w:bCs/>
              </w:rPr>
              <w:t>VAR (%)</w:t>
            </w:r>
            <w:r>
              <w:rPr>
                <w:rFonts w:cs="Arial"/>
                <w:b/>
                <w:bCs/>
              </w:rPr>
              <w:t xml:space="preserve"> (</w:t>
            </w:r>
            <w:r w:rsidR="000E06B1">
              <w:rPr>
                <w:rFonts w:cs="Arial"/>
                <w:b/>
                <w:bCs/>
              </w:rPr>
              <w:t>2022/2021</w:t>
            </w:r>
            <w:r>
              <w:rPr>
                <w:rFonts w:cs="Arial"/>
                <w:b/>
                <w:bCs/>
              </w:rPr>
              <w:t>)</w:t>
            </w:r>
          </w:p>
        </w:tc>
      </w:tr>
      <w:tr w:rsidR="00B36E17" w:rsidRPr="009C573C" w:rsidTr="00F34972">
        <w:trPr>
          <w:trHeight w:val="495"/>
        </w:trPr>
        <w:tc>
          <w:tcPr>
            <w:tcW w:w="6675" w:type="dxa"/>
            <w:tcBorders>
              <w:top w:val="single" w:sz="4" w:space="0" w:color="auto"/>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Appareils et matériel thérapeutiques</w:t>
            </w:r>
          </w:p>
        </w:tc>
        <w:tc>
          <w:tcPr>
            <w:tcW w:w="1135" w:type="dxa"/>
            <w:tcBorders>
              <w:top w:val="single" w:sz="4" w:space="0" w:color="auto"/>
            </w:tcBorders>
            <w:vAlign w:val="center"/>
          </w:tcPr>
          <w:p w:rsidR="00B36E17" w:rsidRPr="002E0A88" w:rsidRDefault="00B36E17" w:rsidP="00B36E17">
            <w:pPr>
              <w:spacing w:after="0"/>
              <w:jc w:val="center"/>
              <w:rPr>
                <w:rFonts w:cs="Arial"/>
              </w:rPr>
            </w:pPr>
            <w:r w:rsidRPr="002E0A88">
              <w:rPr>
                <w:rFonts w:cs="Arial"/>
              </w:rPr>
              <w:t>99,1</w:t>
            </w:r>
          </w:p>
        </w:tc>
        <w:tc>
          <w:tcPr>
            <w:tcW w:w="1135" w:type="dxa"/>
            <w:tcBorders>
              <w:top w:val="single" w:sz="4" w:space="0" w:color="auto"/>
            </w:tcBorders>
            <w:vAlign w:val="center"/>
          </w:tcPr>
          <w:p w:rsidR="00B36E17" w:rsidRPr="00036622" w:rsidRDefault="00B36E17" w:rsidP="00B36E17">
            <w:pPr>
              <w:spacing w:after="0"/>
              <w:jc w:val="center"/>
              <w:rPr>
                <w:rFonts w:cs="Arial"/>
              </w:rPr>
            </w:pPr>
            <w:r w:rsidRPr="00036622">
              <w:rPr>
                <w:rFonts w:cs="Arial"/>
              </w:rPr>
              <w:t>99,1</w:t>
            </w:r>
          </w:p>
        </w:tc>
        <w:tc>
          <w:tcPr>
            <w:tcW w:w="1135" w:type="dxa"/>
            <w:tcBorders>
              <w:top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99,1</w:t>
            </w:r>
          </w:p>
        </w:tc>
        <w:tc>
          <w:tcPr>
            <w:tcW w:w="1264" w:type="dxa"/>
            <w:tcBorders>
              <w:top w:val="single" w:sz="4" w:space="0" w:color="auto"/>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ambulatoires</w:t>
            </w:r>
          </w:p>
        </w:tc>
        <w:tc>
          <w:tcPr>
            <w:tcW w:w="1135" w:type="dxa"/>
            <w:vAlign w:val="center"/>
          </w:tcPr>
          <w:p w:rsidR="00B36E17" w:rsidRPr="002E0A88" w:rsidRDefault="00B36E17" w:rsidP="00B36E17">
            <w:pPr>
              <w:spacing w:after="0"/>
              <w:jc w:val="center"/>
              <w:rPr>
                <w:rFonts w:cs="Arial"/>
              </w:rPr>
            </w:pPr>
            <w:r w:rsidRPr="002E0A88">
              <w:rPr>
                <w:rFonts w:cs="Arial"/>
              </w:rPr>
              <w:t>108,5</w:t>
            </w:r>
          </w:p>
        </w:tc>
        <w:tc>
          <w:tcPr>
            <w:tcW w:w="1135" w:type="dxa"/>
            <w:vAlign w:val="center"/>
          </w:tcPr>
          <w:p w:rsidR="00B36E17" w:rsidRPr="00036622" w:rsidRDefault="00B36E17" w:rsidP="00B36E17">
            <w:pPr>
              <w:spacing w:after="0"/>
              <w:jc w:val="center"/>
              <w:rPr>
                <w:rFonts w:cs="Arial"/>
              </w:rPr>
            </w:pPr>
            <w:r w:rsidRPr="00036622">
              <w:rPr>
                <w:rFonts w:cs="Arial"/>
              </w:rPr>
              <w:t>109,3</w:t>
            </w:r>
          </w:p>
        </w:tc>
        <w:tc>
          <w:tcPr>
            <w:tcW w:w="1135" w:type="dxa"/>
            <w:shd w:val="clear" w:color="auto" w:fill="auto"/>
            <w:noWrap/>
            <w:vAlign w:val="center"/>
          </w:tcPr>
          <w:p w:rsidR="00B36E17" w:rsidRPr="00B36E17" w:rsidRDefault="00B36E17" w:rsidP="00B36E17">
            <w:pPr>
              <w:spacing w:after="0"/>
              <w:jc w:val="center"/>
              <w:rPr>
                <w:rFonts w:cs="Arial"/>
              </w:rPr>
            </w:pPr>
            <w:r w:rsidRPr="00B36E17">
              <w:rPr>
                <w:rFonts w:cs="Arial"/>
              </w:rPr>
              <w:t>109,3</w:t>
            </w:r>
          </w:p>
        </w:tc>
        <w:tc>
          <w:tcPr>
            <w:tcW w:w="1264" w:type="dxa"/>
            <w:tcBorders>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médicaux</w:t>
            </w:r>
          </w:p>
        </w:tc>
        <w:tc>
          <w:tcPr>
            <w:tcW w:w="1135" w:type="dxa"/>
            <w:tcBorders>
              <w:top w:val="nil"/>
            </w:tcBorders>
            <w:vAlign w:val="center"/>
          </w:tcPr>
          <w:p w:rsidR="00B36E17" w:rsidRPr="002E0A88" w:rsidRDefault="00B36E17" w:rsidP="00B36E17">
            <w:pPr>
              <w:spacing w:after="0"/>
              <w:jc w:val="center"/>
              <w:rPr>
                <w:rFonts w:cs="Arial"/>
              </w:rPr>
            </w:pPr>
            <w:r w:rsidRPr="002E0A88">
              <w:rPr>
                <w:rFonts w:cs="Arial"/>
              </w:rPr>
              <w:t>124,3</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126,5</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126,5</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dentaires</w:t>
            </w:r>
          </w:p>
        </w:tc>
        <w:tc>
          <w:tcPr>
            <w:tcW w:w="1135" w:type="dxa"/>
            <w:tcBorders>
              <w:top w:val="nil"/>
            </w:tcBorders>
            <w:vAlign w:val="center"/>
          </w:tcPr>
          <w:p w:rsidR="00B36E17" w:rsidRPr="002E0A88" w:rsidRDefault="00B36E17" w:rsidP="00B36E17">
            <w:pPr>
              <w:spacing w:after="0"/>
              <w:jc w:val="center"/>
              <w:rPr>
                <w:rFonts w:cs="Arial"/>
              </w:rPr>
            </w:pPr>
            <w:r w:rsidRPr="002E0A88">
              <w:rPr>
                <w:rFonts w:cs="Arial"/>
              </w:rPr>
              <w:t>109,2</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109,9</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109,9</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61"/>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paramédicaux</w:t>
            </w:r>
          </w:p>
        </w:tc>
        <w:tc>
          <w:tcPr>
            <w:tcW w:w="1135" w:type="dxa"/>
            <w:tcBorders>
              <w:top w:val="nil"/>
            </w:tcBorders>
            <w:vAlign w:val="center"/>
          </w:tcPr>
          <w:p w:rsidR="00B36E17" w:rsidRPr="002E0A88" w:rsidRDefault="00B36E17" w:rsidP="00B36E17">
            <w:pPr>
              <w:spacing w:after="0"/>
              <w:jc w:val="center"/>
              <w:rPr>
                <w:rFonts w:cs="Arial"/>
              </w:rPr>
            </w:pPr>
            <w:r w:rsidRPr="002E0A88">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hospitaliers</w:t>
            </w:r>
          </w:p>
        </w:tc>
        <w:tc>
          <w:tcPr>
            <w:tcW w:w="1135" w:type="dxa"/>
            <w:tcBorders>
              <w:top w:val="nil"/>
            </w:tcBorders>
            <w:vAlign w:val="center"/>
          </w:tcPr>
          <w:p w:rsidR="00B36E17" w:rsidRPr="002E0A88" w:rsidRDefault="00B36E17" w:rsidP="00B36E17">
            <w:pPr>
              <w:spacing w:after="0"/>
              <w:jc w:val="center"/>
              <w:rPr>
                <w:rFonts w:cs="Arial"/>
              </w:rPr>
            </w:pPr>
            <w:r w:rsidRPr="002E0A88">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hospitaliers</w:t>
            </w:r>
          </w:p>
        </w:tc>
        <w:tc>
          <w:tcPr>
            <w:tcW w:w="1135" w:type="dxa"/>
            <w:tcBorders>
              <w:top w:val="nil"/>
            </w:tcBorders>
            <w:vAlign w:val="center"/>
          </w:tcPr>
          <w:p w:rsidR="00B36E17" w:rsidRPr="002E0A88" w:rsidRDefault="00B36E17" w:rsidP="00B36E17">
            <w:pPr>
              <w:spacing w:after="0"/>
              <w:jc w:val="center"/>
              <w:rPr>
                <w:rFonts w:cs="Arial"/>
              </w:rPr>
            </w:pPr>
            <w:r w:rsidRPr="002E0A88">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FABF8F" w:themeFill="accent6" w:themeFillTint="99"/>
            <w:vAlign w:val="center"/>
          </w:tcPr>
          <w:p w:rsidR="00B36E17" w:rsidRPr="009C573C" w:rsidRDefault="00B36E17" w:rsidP="00B36E17">
            <w:pPr>
              <w:spacing w:after="0"/>
              <w:rPr>
                <w:rFonts w:cs="Arial"/>
                <w:b/>
                <w:bCs/>
              </w:rPr>
            </w:pPr>
            <w:r w:rsidRPr="009C573C">
              <w:rPr>
                <w:rFonts w:cs="Arial"/>
                <w:b/>
                <w:bCs/>
              </w:rPr>
              <w:t>07-Transports</w:t>
            </w:r>
          </w:p>
        </w:tc>
        <w:tc>
          <w:tcPr>
            <w:tcW w:w="1135" w:type="dxa"/>
            <w:tcBorders>
              <w:top w:val="nil"/>
            </w:tcBorders>
            <w:shd w:val="clear" w:color="auto" w:fill="FABF8F" w:themeFill="accent6" w:themeFillTint="99"/>
            <w:vAlign w:val="center"/>
          </w:tcPr>
          <w:p w:rsidR="00B36E17" w:rsidRPr="00A851F6" w:rsidRDefault="00B36E17" w:rsidP="00B36E17">
            <w:pPr>
              <w:spacing w:after="0"/>
              <w:jc w:val="center"/>
              <w:rPr>
                <w:rFonts w:cs="Arial"/>
                <w:b/>
                <w:bCs/>
              </w:rPr>
            </w:pPr>
            <w:r w:rsidRPr="00A851F6">
              <w:rPr>
                <w:rFonts w:cs="Arial"/>
                <w:b/>
                <w:bCs/>
              </w:rPr>
              <w:t>101,2</w:t>
            </w:r>
          </w:p>
        </w:tc>
        <w:tc>
          <w:tcPr>
            <w:tcW w:w="1135" w:type="dxa"/>
            <w:tcBorders>
              <w:top w:val="nil"/>
            </w:tcBorders>
            <w:shd w:val="clear" w:color="auto" w:fill="FABF8F" w:themeFill="accent6" w:themeFillTint="99"/>
            <w:vAlign w:val="center"/>
          </w:tcPr>
          <w:p w:rsidR="00B36E17" w:rsidRPr="00036622" w:rsidRDefault="00B36E17" w:rsidP="00B36E17">
            <w:pPr>
              <w:spacing w:after="0"/>
              <w:jc w:val="center"/>
              <w:rPr>
                <w:rFonts w:cs="Arial"/>
                <w:b/>
                <w:bCs/>
              </w:rPr>
            </w:pPr>
            <w:r w:rsidRPr="00036622">
              <w:rPr>
                <w:rFonts w:cs="Arial"/>
                <w:b/>
                <w:bCs/>
              </w:rPr>
              <w:t>105,9</w:t>
            </w:r>
          </w:p>
        </w:tc>
        <w:tc>
          <w:tcPr>
            <w:tcW w:w="1135" w:type="dxa"/>
            <w:tcBorders>
              <w:top w:val="nil"/>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117,6</w:t>
            </w:r>
          </w:p>
        </w:tc>
        <w:tc>
          <w:tcPr>
            <w:tcW w:w="1264" w:type="dxa"/>
            <w:tcBorders>
              <w:top w:val="nil"/>
              <w:right w:val="single" w:sz="4" w:space="0" w:color="auto"/>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11,0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Achat de véhicules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102,5</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107,3</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113,5</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5,8</w:t>
            </w:r>
          </w:p>
        </w:tc>
      </w:tr>
      <w:tr w:rsidR="00B36E17" w:rsidRPr="009C573C" w:rsidTr="00F34972">
        <w:trPr>
          <w:trHeight w:val="48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Voitures automobiles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102,5</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107,4</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113,7</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5,9</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Motocycles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101,8</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103,7</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103,7</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Bicyclettes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2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Dépenses d'utilisation des véhicules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95,1</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101,1</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126,0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24,6</w:t>
            </w:r>
          </w:p>
        </w:tc>
      </w:tr>
      <w:tr w:rsidR="00B36E17" w:rsidRPr="009C573C" w:rsidTr="00F34972">
        <w:trPr>
          <w:trHeight w:val="48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Pièces de rechange et accessoires pour véhicules de tourisme</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98,7</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98,7</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98,7</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80"/>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Carburants et lubrifiants pour véhicules de tourisme</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91,2</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102,0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145,1</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42,3</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Entretien et réparation de véhicules particuliers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103,4</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3,4</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divers lies aux véhicules particuliers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100,3</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100,3</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100,3</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de transport</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110,5</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112,5</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107,9</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-4,1</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Transport ferroviaire de passagers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101,6</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102,8</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1,2</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Transport routier de passagers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112,5</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115,8</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109,5</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-5,4</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Transport aérien de passagers</w:t>
            </w:r>
          </w:p>
        </w:tc>
        <w:tc>
          <w:tcPr>
            <w:tcW w:w="1135" w:type="dxa"/>
            <w:tcBorders>
              <w:top w:val="nil"/>
            </w:tcBorders>
            <w:vAlign w:val="center"/>
          </w:tcPr>
          <w:p w:rsidR="00B36E17" w:rsidRPr="00A851F6" w:rsidRDefault="00B36E17" w:rsidP="00B36E17">
            <w:pPr>
              <w:spacing w:after="0"/>
              <w:jc w:val="center"/>
              <w:rPr>
                <w:rFonts w:cs="Arial"/>
              </w:rPr>
            </w:pPr>
            <w:r w:rsidRPr="00A851F6">
              <w:rPr>
                <w:rFonts w:cs="Arial"/>
              </w:rPr>
              <w:t>89,0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72,0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87,6</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21,7</w:t>
            </w:r>
          </w:p>
        </w:tc>
      </w:tr>
      <w:tr w:rsidR="00B36E17" w:rsidRPr="009C573C" w:rsidTr="00F34972">
        <w:trPr>
          <w:trHeight w:val="283"/>
        </w:trPr>
        <w:tc>
          <w:tcPr>
            <w:tcW w:w="6675" w:type="dxa"/>
            <w:tcBorders>
              <w:top w:val="nil"/>
              <w:left w:val="single" w:sz="4" w:space="0" w:color="auto"/>
              <w:bottom w:val="nil"/>
            </w:tcBorders>
            <w:shd w:val="clear" w:color="auto" w:fill="FABF8F" w:themeFill="accent6" w:themeFillTint="99"/>
            <w:vAlign w:val="center"/>
          </w:tcPr>
          <w:p w:rsidR="00B36E17" w:rsidRPr="009C573C" w:rsidRDefault="00B36E17" w:rsidP="00B36E17">
            <w:pPr>
              <w:spacing w:after="0"/>
              <w:rPr>
                <w:rFonts w:cs="Arial"/>
                <w:b/>
                <w:bCs/>
              </w:rPr>
            </w:pPr>
            <w:r w:rsidRPr="009C573C">
              <w:rPr>
                <w:rFonts w:cs="Arial"/>
                <w:b/>
                <w:bCs/>
              </w:rPr>
              <w:t>08-Communications</w:t>
            </w:r>
          </w:p>
        </w:tc>
        <w:tc>
          <w:tcPr>
            <w:tcW w:w="1135" w:type="dxa"/>
            <w:tcBorders>
              <w:top w:val="nil"/>
              <w:bottom w:val="nil"/>
            </w:tcBorders>
            <w:shd w:val="clear" w:color="auto" w:fill="FABF8F" w:themeFill="accent6" w:themeFillTint="99"/>
            <w:vAlign w:val="center"/>
          </w:tcPr>
          <w:p w:rsidR="00B36E17" w:rsidRPr="006D4D08" w:rsidRDefault="00B36E17" w:rsidP="00B36E17">
            <w:pPr>
              <w:spacing w:after="0"/>
              <w:jc w:val="center"/>
              <w:rPr>
                <w:rFonts w:cs="Arial"/>
                <w:b/>
                <w:bCs/>
              </w:rPr>
            </w:pPr>
            <w:r w:rsidRPr="006D4D08">
              <w:rPr>
                <w:rFonts w:cs="Arial"/>
                <w:b/>
                <w:bCs/>
              </w:rPr>
              <w:t>106,4</w:t>
            </w:r>
          </w:p>
        </w:tc>
        <w:tc>
          <w:tcPr>
            <w:tcW w:w="1135" w:type="dxa"/>
            <w:tcBorders>
              <w:top w:val="nil"/>
              <w:bottom w:val="nil"/>
            </w:tcBorders>
            <w:shd w:val="clear" w:color="auto" w:fill="FABF8F" w:themeFill="accent6" w:themeFillTint="99"/>
            <w:vAlign w:val="center"/>
          </w:tcPr>
          <w:p w:rsidR="00B36E17" w:rsidRPr="00036622" w:rsidRDefault="00B36E17" w:rsidP="00B36E17">
            <w:pPr>
              <w:spacing w:after="0"/>
              <w:jc w:val="center"/>
              <w:rPr>
                <w:rFonts w:cs="Arial"/>
                <w:b/>
                <w:bCs/>
              </w:rPr>
            </w:pPr>
            <w:r w:rsidRPr="00036622">
              <w:rPr>
                <w:rFonts w:cs="Arial"/>
                <w:b/>
                <w:bCs/>
              </w:rPr>
              <w:t>106,4</w:t>
            </w:r>
          </w:p>
        </w:tc>
        <w:tc>
          <w:tcPr>
            <w:tcW w:w="1135" w:type="dxa"/>
            <w:tcBorders>
              <w:top w:val="nil"/>
              <w:bottom w:val="nil"/>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107,1</w:t>
            </w:r>
          </w:p>
        </w:tc>
        <w:tc>
          <w:tcPr>
            <w:tcW w:w="1264" w:type="dxa"/>
            <w:tcBorders>
              <w:top w:val="nil"/>
              <w:bottom w:val="nil"/>
              <w:right w:val="single" w:sz="4" w:space="0" w:color="auto"/>
            </w:tcBorders>
            <w:shd w:val="clear" w:color="auto" w:fill="FABF8F" w:themeFill="accent6" w:themeFillTint="99"/>
            <w:noWrap/>
            <w:vAlign w:val="center"/>
          </w:tcPr>
          <w:p w:rsidR="00B36E17" w:rsidRPr="00B36E17" w:rsidRDefault="00B36E17" w:rsidP="00B36E17">
            <w:pPr>
              <w:spacing w:after="0"/>
              <w:jc w:val="center"/>
              <w:rPr>
                <w:rFonts w:cs="Arial"/>
                <w:b/>
                <w:bCs/>
              </w:rPr>
            </w:pPr>
            <w:r w:rsidRPr="00B36E17">
              <w:rPr>
                <w:rFonts w:cs="Arial"/>
                <w:b/>
                <w:bCs/>
              </w:rPr>
              <w:t>0,7</w:t>
            </w:r>
          </w:p>
        </w:tc>
      </w:tr>
      <w:tr w:rsidR="00B36E17" w:rsidRPr="009C573C" w:rsidTr="00F34972">
        <w:trPr>
          <w:trHeight w:val="405"/>
        </w:trPr>
        <w:tc>
          <w:tcPr>
            <w:tcW w:w="6675" w:type="dxa"/>
            <w:tcBorders>
              <w:top w:val="nil"/>
              <w:left w:val="single" w:sz="4" w:space="0" w:color="auto"/>
              <w:bottom w:val="nil"/>
            </w:tcBorders>
            <w:shd w:val="clear" w:color="auto" w:fill="auto"/>
            <w:vAlign w:val="center"/>
          </w:tcPr>
          <w:p w:rsidR="00B36E17" w:rsidRPr="009C573C" w:rsidRDefault="00B36E17" w:rsidP="00B36E17">
            <w:pPr>
              <w:spacing w:after="0"/>
              <w:rPr>
                <w:rFonts w:cs="Arial"/>
              </w:rPr>
            </w:pPr>
            <w:r w:rsidRPr="009C573C">
              <w:rPr>
                <w:rFonts w:cs="Arial"/>
              </w:rPr>
              <w:t>Services postaux</w:t>
            </w:r>
          </w:p>
        </w:tc>
        <w:tc>
          <w:tcPr>
            <w:tcW w:w="1135" w:type="dxa"/>
            <w:tcBorders>
              <w:top w:val="nil"/>
              <w:bottom w:val="nil"/>
            </w:tcBorders>
            <w:vAlign w:val="center"/>
          </w:tcPr>
          <w:p w:rsidR="00B36E17" w:rsidRPr="006D4D08" w:rsidRDefault="00B36E17" w:rsidP="00B36E17">
            <w:pPr>
              <w:spacing w:after="0"/>
              <w:jc w:val="center"/>
              <w:rPr>
                <w:rFonts w:cs="Arial"/>
              </w:rPr>
            </w:pPr>
            <w:r w:rsidRPr="006D4D08">
              <w:rPr>
                <w:rFonts w:cs="Arial"/>
              </w:rPr>
              <w:t>100,0</w:t>
            </w:r>
          </w:p>
        </w:tc>
        <w:tc>
          <w:tcPr>
            <w:tcW w:w="1135" w:type="dxa"/>
            <w:tcBorders>
              <w:top w:val="nil"/>
              <w:bottom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bottom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100,0</w:t>
            </w:r>
          </w:p>
        </w:tc>
        <w:tc>
          <w:tcPr>
            <w:tcW w:w="1264" w:type="dxa"/>
            <w:tcBorders>
              <w:top w:val="nil"/>
              <w:bottom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rPr>
                <w:rFonts w:cs="Arial"/>
              </w:rPr>
            </w:pPr>
            <w:r w:rsidRPr="009C573C">
              <w:rPr>
                <w:rFonts w:cs="Arial"/>
              </w:rPr>
              <w:t>Services postaux</w:t>
            </w:r>
          </w:p>
        </w:tc>
        <w:tc>
          <w:tcPr>
            <w:tcW w:w="1135" w:type="dxa"/>
            <w:tcBorders>
              <w:top w:val="nil"/>
            </w:tcBorders>
            <w:vAlign w:val="center"/>
          </w:tcPr>
          <w:p w:rsidR="00B36E17" w:rsidRPr="006D4D08" w:rsidRDefault="00B36E17" w:rsidP="00B36E17">
            <w:pPr>
              <w:spacing w:after="0"/>
              <w:jc w:val="center"/>
              <w:rPr>
                <w:rFonts w:cs="Arial"/>
              </w:rPr>
            </w:pPr>
            <w:r w:rsidRPr="006D4D08">
              <w:rPr>
                <w:rFonts w:cs="Arial"/>
              </w:rPr>
              <w:t>100,0</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100,0</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100,0</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Matériel de téléphonie et de télécopie</w:t>
            </w:r>
          </w:p>
        </w:tc>
        <w:tc>
          <w:tcPr>
            <w:tcW w:w="1135" w:type="dxa"/>
            <w:tcBorders>
              <w:top w:val="nil"/>
            </w:tcBorders>
            <w:vAlign w:val="center"/>
          </w:tcPr>
          <w:p w:rsidR="00B36E17" w:rsidRPr="006D4D08" w:rsidRDefault="00B36E17" w:rsidP="00B36E17">
            <w:pPr>
              <w:spacing w:after="0" w:line="360" w:lineRule="auto"/>
              <w:jc w:val="center"/>
              <w:rPr>
                <w:rFonts w:cs="Arial"/>
              </w:rPr>
            </w:pPr>
            <w:r w:rsidRPr="006D4D08">
              <w:rPr>
                <w:rFonts w:cs="Arial"/>
              </w:rPr>
              <w:t>95,6</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95,6</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102,4</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7,1</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Matériel de téléphonie et de télécopie</w:t>
            </w:r>
          </w:p>
        </w:tc>
        <w:tc>
          <w:tcPr>
            <w:tcW w:w="1135" w:type="dxa"/>
            <w:tcBorders>
              <w:top w:val="nil"/>
            </w:tcBorders>
            <w:vAlign w:val="center"/>
          </w:tcPr>
          <w:p w:rsidR="00B36E17" w:rsidRPr="006D4D08" w:rsidRDefault="00B36E17" w:rsidP="00B36E17">
            <w:pPr>
              <w:spacing w:after="0" w:line="360" w:lineRule="auto"/>
              <w:jc w:val="center"/>
              <w:rPr>
                <w:rFonts w:cs="Arial"/>
              </w:rPr>
            </w:pPr>
            <w:r w:rsidRPr="006D4D08">
              <w:rPr>
                <w:rFonts w:cs="Arial"/>
              </w:rPr>
              <w:t>95,6</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95,6</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102,4</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7,1</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Services de téléphonie et de télécopie</w:t>
            </w:r>
          </w:p>
        </w:tc>
        <w:tc>
          <w:tcPr>
            <w:tcW w:w="1135" w:type="dxa"/>
            <w:tcBorders>
              <w:top w:val="nil"/>
            </w:tcBorders>
            <w:vAlign w:val="center"/>
          </w:tcPr>
          <w:p w:rsidR="00B36E17" w:rsidRPr="006D4D08" w:rsidRDefault="00B36E17" w:rsidP="00B36E17">
            <w:pPr>
              <w:spacing w:after="0" w:line="360" w:lineRule="auto"/>
              <w:jc w:val="center"/>
              <w:rPr>
                <w:rFonts w:cs="Arial"/>
              </w:rPr>
            </w:pPr>
            <w:r w:rsidRPr="006D4D08">
              <w:rPr>
                <w:rFonts w:cs="Arial"/>
              </w:rPr>
              <w:t>107,7</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107,7</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107,7</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405"/>
        </w:trPr>
        <w:tc>
          <w:tcPr>
            <w:tcW w:w="6675" w:type="dxa"/>
            <w:tcBorders>
              <w:top w:val="nil"/>
              <w:left w:val="single" w:sz="4" w:space="0" w:color="auto"/>
            </w:tcBorders>
            <w:shd w:val="clear" w:color="auto" w:fill="auto"/>
            <w:vAlign w:val="center"/>
          </w:tcPr>
          <w:p w:rsidR="00B36E17" w:rsidRPr="009C573C" w:rsidRDefault="00B36E17" w:rsidP="00B36E17">
            <w:pPr>
              <w:spacing w:after="0" w:line="360" w:lineRule="auto"/>
              <w:rPr>
                <w:rFonts w:cs="Arial"/>
              </w:rPr>
            </w:pPr>
            <w:r w:rsidRPr="009C573C">
              <w:rPr>
                <w:rFonts w:cs="Arial"/>
              </w:rPr>
              <w:t>Services de téléphonie et de télécopie</w:t>
            </w:r>
          </w:p>
        </w:tc>
        <w:tc>
          <w:tcPr>
            <w:tcW w:w="1135" w:type="dxa"/>
            <w:tcBorders>
              <w:top w:val="nil"/>
            </w:tcBorders>
            <w:vAlign w:val="center"/>
          </w:tcPr>
          <w:p w:rsidR="00B36E17" w:rsidRPr="006D4D08" w:rsidRDefault="00B36E17" w:rsidP="00B36E17">
            <w:pPr>
              <w:spacing w:after="0" w:line="360" w:lineRule="auto"/>
              <w:jc w:val="center"/>
              <w:rPr>
                <w:rFonts w:cs="Arial"/>
              </w:rPr>
            </w:pPr>
            <w:r w:rsidRPr="006D4D08">
              <w:rPr>
                <w:rFonts w:cs="Arial"/>
              </w:rPr>
              <w:t>107,7</w:t>
            </w:r>
          </w:p>
        </w:tc>
        <w:tc>
          <w:tcPr>
            <w:tcW w:w="1135" w:type="dxa"/>
            <w:tcBorders>
              <w:top w:val="nil"/>
            </w:tcBorders>
            <w:vAlign w:val="center"/>
          </w:tcPr>
          <w:p w:rsidR="00B36E17" w:rsidRPr="00036622" w:rsidRDefault="00B36E17" w:rsidP="00B36E17">
            <w:pPr>
              <w:spacing w:after="0"/>
              <w:jc w:val="center"/>
              <w:rPr>
                <w:rFonts w:cs="Arial"/>
              </w:rPr>
            </w:pPr>
            <w:r w:rsidRPr="00036622">
              <w:rPr>
                <w:rFonts w:cs="Arial"/>
              </w:rPr>
              <w:t>107,7</w:t>
            </w:r>
          </w:p>
        </w:tc>
        <w:tc>
          <w:tcPr>
            <w:tcW w:w="1135" w:type="dxa"/>
            <w:tcBorders>
              <w:top w:val="nil"/>
            </w:tcBorders>
            <w:shd w:val="clear" w:color="auto" w:fill="auto"/>
            <w:noWrap/>
            <w:vAlign w:val="center"/>
          </w:tcPr>
          <w:p w:rsidR="00B36E17" w:rsidRPr="00B36E17" w:rsidRDefault="00B36E17" w:rsidP="00B36E17">
            <w:pPr>
              <w:spacing w:after="0"/>
              <w:jc w:val="center"/>
              <w:rPr>
                <w:rFonts w:cs="Arial"/>
              </w:rPr>
            </w:pPr>
            <w:r w:rsidRPr="00B36E17">
              <w:rPr>
                <w:rFonts w:cs="Arial"/>
              </w:rPr>
              <w:t>107,7</w:t>
            </w:r>
          </w:p>
        </w:tc>
        <w:tc>
          <w:tcPr>
            <w:tcW w:w="1264" w:type="dxa"/>
            <w:tcBorders>
              <w:top w:val="nil"/>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0,0</w:t>
            </w:r>
          </w:p>
        </w:tc>
      </w:tr>
      <w:tr w:rsidR="00B36E17" w:rsidRPr="009C573C" w:rsidTr="00F34972">
        <w:trPr>
          <w:trHeight w:val="295"/>
        </w:trPr>
        <w:tc>
          <w:tcPr>
            <w:tcW w:w="6675" w:type="dxa"/>
            <w:tcBorders>
              <w:top w:val="nil"/>
              <w:left w:val="single" w:sz="4" w:space="0" w:color="auto"/>
              <w:bottom w:val="nil"/>
            </w:tcBorders>
            <w:shd w:val="clear" w:color="auto" w:fill="FABF8F" w:themeFill="accent6" w:themeFillTint="99"/>
            <w:vAlign w:val="center"/>
          </w:tcPr>
          <w:p w:rsidR="00B36E17" w:rsidRPr="009C573C" w:rsidRDefault="00B36E17" w:rsidP="00B36E17">
            <w:pPr>
              <w:spacing w:after="0"/>
              <w:rPr>
                <w:rFonts w:cs="Arial"/>
                <w:b/>
                <w:bCs/>
              </w:rPr>
            </w:pPr>
            <w:r>
              <w:rPr>
                <w:rFonts w:cs="Arial"/>
                <w:b/>
                <w:bCs/>
              </w:rPr>
              <w:t>09</w:t>
            </w:r>
            <w:r w:rsidRPr="009C573C">
              <w:rPr>
                <w:rFonts w:cs="Arial"/>
                <w:b/>
                <w:bCs/>
              </w:rPr>
              <w:t>-</w:t>
            </w:r>
            <w:r>
              <w:rPr>
                <w:rFonts w:cs="Arial"/>
                <w:b/>
                <w:bCs/>
              </w:rPr>
              <w:t>Loisirs et culture</w:t>
            </w:r>
          </w:p>
        </w:tc>
        <w:tc>
          <w:tcPr>
            <w:tcW w:w="1135" w:type="dxa"/>
            <w:tcBorders>
              <w:top w:val="nil"/>
              <w:bottom w:val="nil"/>
            </w:tcBorders>
            <w:shd w:val="clear" w:color="auto" w:fill="FABF8F" w:themeFill="accent6" w:themeFillTint="99"/>
            <w:vAlign w:val="center"/>
          </w:tcPr>
          <w:p w:rsidR="00B36E17" w:rsidRPr="006D4D08" w:rsidRDefault="00B36E17" w:rsidP="00B36E17">
            <w:pPr>
              <w:spacing w:after="0"/>
              <w:jc w:val="center"/>
              <w:rPr>
                <w:rFonts w:cs="Arial"/>
                <w:b/>
                <w:bCs/>
              </w:rPr>
            </w:pPr>
            <w:r w:rsidRPr="006D4D08">
              <w:rPr>
                <w:rFonts w:cs="Arial"/>
                <w:b/>
                <w:bCs/>
              </w:rPr>
              <w:t>10</w:t>
            </w:r>
            <w:r>
              <w:rPr>
                <w:rFonts w:cs="Arial"/>
                <w:b/>
                <w:bCs/>
              </w:rPr>
              <w:t>0</w:t>
            </w:r>
            <w:r w:rsidRPr="006D4D08">
              <w:rPr>
                <w:rFonts w:cs="Arial"/>
                <w:b/>
                <w:bCs/>
              </w:rPr>
              <w:t>,4</w:t>
            </w:r>
          </w:p>
        </w:tc>
        <w:tc>
          <w:tcPr>
            <w:tcW w:w="1135" w:type="dxa"/>
            <w:tcBorders>
              <w:top w:val="nil"/>
              <w:bottom w:val="nil"/>
            </w:tcBorders>
            <w:shd w:val="clear" w:color="auto" w:fill="FABF8F" w:themeFill="accent6" w:themeFillTint="99"/>
            <w:vAlign w:val="center"/>
          </w:tcPr>
          <w:p w:rsidR="00B36E17" w:rsidRPr="00036622" w:rsidRDefault="00B36E17" w:rsidP="00B36E17">
            <w:pPr>
              <w:spacing w:after="0"/>
              <w:jc w:val="center"/>
              <w:rPr>
                <w:rFonts w:cs="Arial"/>
                <w:b/>
                <w:bCs/>
              </w:rPr>
            </w:pPr>
            <w:r w:rsidRPr="00036622">
              <w:rPr>
                <w:rFonts w:cs="Arial"/>
                <w:b/>
                <w:bCs/>
              </w:rPr>
              <w:t>100,7</w:t>
            </w:r>
          </w:p>
        </w:tc>
        <w:tc>
          <w:tcPr>
            <w:tcW w:w="1135" w:type="dxa"/>
            <w:tcBorders>
              <w:top w:val="nil"/>
              <w:bottom w:val="nil"/>
            </w:tcBorders>
            <w:shd w:val="clear" w:color="auto" w:fill="FABF8F" w:themeFill="accent6" w:themeFillTint="99"/>
            <w:noWrap/>
            <w:vAlign w:val="center"/>
          </w:tcPr>
          <w:p w:rsidR="00B36E17" w:rsidRPr="00B36E17" w:rsidRDefault="00B36E17" w:rsidP="00B36E17">
            <w:pPr>
              <w:spacing w:after="0"/>
              <w:jc w:val="center"/>
              <w:rPr>
                <w:rFonts w:cs="Arial"/>
              </w:rPr>
            </w:pPr>
            <w:r w:rsidRPr="00B36E17">
              <w:rPr>
                <w:rFonts w:cs="Arial"/>
              </w:rPr>
              <w:t>101,5</w:t>
            </w:r>
          </w:p>
        </w:tc>
        <w:tc>
          <w:tcPr>
            <w:tcW w:w="1264" w:type="dxa"/>
            <w:tcBorders>
              <w:top w:val="nil"/>
              <w:bottom w:val="nil"/>
              <w:right w:val="single" w:sz="4" w:space="0" w:color="auto"/>
            </w:tcBorders>
            <w:shd w:val="clear" w:color="auto" w:fill="FABF8F" w:themeFill="accent6" w:themeFillTint="99"/>
            <w:noWrap/>
            <w:vAlign w:val="center"/>
          </w:tcPr>
          <w:p w:rsidR="00B36E17" w:rsidRPr="00B36E17" w:rsidRDefault="00B36E17" w:rsidP="00B36E17">
            <w:pPr>
              <w:spacing w:after="0"/>
              <w:jc w:val="center"/>
              <w:rPr>
                <w:rFonts w:cs="Arial"/>
              </w:rPr>
            </w:pPr>
            <w:r w:rsidRPr="00B36E17">
              <w:rPr>
                <w:rFonts w:cs="Arial"/>
              </w:rPr>
              <w:t>0,8</w:t>
            </w:r>
          </w:p>
        </w:tc>
      </w:tr>
      <w:tr w:rsidR="00B36E17" w:rsidRPr="009C573C" w:rsidTr="00F34972">
        <w:trPr>
          <w:trHeight w:val="405"/>
        </w:trPr>
        <w:tc>
          <w:tcPr>
            <w:tcW w:w="6675" w:type="dxa"/>
            <w:tcBorders>
              <w:left w:val="single" w:sz="4" w:space="0" w:color="auto"/>
            </w:tcBorders>
            <w:shd w:val="clear" w:color="auto" w:fill="auto"/>
            <w:vAlign w:val="center"/>
          </w:tcPr>
          <w:p w:rsidR="00B36E17" w:rsidRPr="007A049E" w:rsidRDefault="00B36E17" w:rsidP="00B36E17">
            <w:pPr>
              <w:spacing w:after="0" w:line="360" w:lineRule="auto"/>
              <w:rPr>
                <w:rFonts w:cs="Arial"/>
                <w:sz w:val="20"/>
                <w:szCs w:val="20"/>
              </w:rPr>
            </w:pPr>
            <w:r w:rsidRPr="007A049E">
              <w:rPr>
                <w:rFonts w:cs="Arial"/>
                <w:sz w:val="20"/>
                <w:szCs w:val="20"/>
              </w:rPr>
              <w:t>Matériel audiovisuel, photographique et de traitement de l'information</w:t>
            </w:r>
          </w:p>
        </w:tc>
        <w:tc>
          <w:tcPr>
            <w:tcW w:w="1135" w:type="dxa"/>
            <w:vAlign w:val="center"/>
          </w:tcPr>
          <w:p w:rsidR="00B36E17" w:rsidRPr="006D4D08" w:rsidRDefault="00B36E17" w:rsidP="00B36E17">
            <w:pPr>
              <w:spacing w:after="0"/>
              <w:jc w:val="center"/>
              <w:rPr>
                <w:rFonts w:cs="Arial"/>
              </w:rPr>
            </w:pPr>
            <w:r w:rsidRPr="006D4D08">
              <w:rPr>
                <w:rFonts w:cs="Arial"/>
              </w:rPr>
              <w:t>97,4</w:t>
            </w:r>
          </w:p>
        </w:tc>
        <w:tc>
          <w:tcPr>
            <w:tcW w:w="1135" w:type="dxa"/>
            <w:vAlign w:val="center"/>
          </w:tcPr>
          <w:p w:rsidR="00B36E17" w:rsidRPr="00036622" w:rsidRDefault="00B36E17" w:rsidP="00B36E17">
            <w:pPr>
              <w:spacing w:after="0"/>
              <w:jc w:val="center"/>
              <w:rPr>
                <w:rFonts w:cs="Arial"/>
              </w:rPr>
            </w:pPr>
            <w:r w:rsidRPr="00036622">
              <w:rPr>
                <w:rFonts w:cs="Arial"/>
              </w:rPr>
              <w:t>95,9</w:t>
            </w:r>
          </w:p>
        </w:tc>
        <w:tc>
          <w:tcPr>
            <w:tcW w:w="1135" w:type="dxa"/>
            <w:shd w:val="clear" w:color="auto" w:fill="auto"/>
            <w:noWrap/>
            <w:vAlign w:val="center"/>
          </w:tcPr>
          <w:p w:rsidR="00B36E17" w:rsidRPr="00B36E17" w:rsidRDefault="00B36E17" w:rsidP="00B36E17">
            <w:pPr>
              <w:spacing w:after="0"/>
              <w:jc w:val="center"/>
              <w:rPr>
                <w:rFonts w:cs="Arial"/>
              </w:rPr>
            </w:pPr>
            <w:r w:rsidRPr="00B36E17">
              <w:rPr>
                <w:rFonts w:cs="Arial"/>
              </w:rPr>
              <w:t>94,4</w:t>
            </w:r>
          </w:p>
        </w:tc>
        <w:tc>
          <w:tcPr>
            <w:tcW w:w="1264" w:type="dxa"/>
            <w:tcBorders>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-1,6</w:t>
            </w:r>
          </w:p>
        </w:tc>
      </w:tr>
      <w:tr w:rsidR="00B36E17" w:rsidRPr="009C573C" w:rsidTr="00F34972">
        <w:trPr>
          <w:trHeight w:val="405"/>
        </w:trPr>
        <w:tc>
          <w:tcPr>
            <w:tcW w:w="6675" w:type="dxa"/>
            <w:tcBorders>
              <w:left w:val="single" w:sz="4" w:space="0" w:color="auto"/>
            </w:tcBorders>
            <w:shd w:val="clear" w:color="auto" w:fill="auto"/>
            <w:vAlign w:val="center"/>
          </w:tcPr>
          <w:p w:rsidR="00B36E17" w:rsidRPr="007A049E" w:rsidRDefault="00B36E17" w:rsidP="00B36E17">
            <w:pPr>
              <w:spacing w:after="0" w:line="360" w:lineRule="auto"/>
              <w:rPr>
                <w:rFonts w:cs="Arial"/>
                <w:sz w:val="20"/>
                <w:szCs w:val="20"/>
              </w:rPr>
            </w:pPr>
            <w:r w:rsidRPr="007A049E">
              <w:rPr>
                <w:rFonts w:cs="Arial"/>
                <w:sz w:val="20"/>
                <w:szCs w:val="20"/>
              </w:rPr>
              <w:t>Matériel de réception, d'enregistrement et de reproduction du son et de l'image</w:t>
            </w:r>
          </w:p>
        </w:tc>
        <w:tc>
          <w:tcPr>
            <w:tcW w:w="1135" w:type="dxa"/>
            <w:vAlign w:val="center"/>
          </w:tcPr>
          <w:p w:rsidR="00B36E17" w:rsidRPr="006D4D08" w:rsidRDefault="00B36E17" w:rsidP="00B36E17">
            <w:pPr>
              <w:spacing w:after="0"/>
              <w:jc w:val="center"/>
              <w:rPr>
                <w:rFonts w:cs="Arial"/>
              </w:rPr>
            </w:pPr>
            <w:r w:rsidRPr="006D4D08">
              <w:rPr>
                <w:rFonts w:cs="Arial"/>
              </w:rPr>
              <w:t>95,3</w:t>
            </w:r>
          </w:p>
        </w:tc>
        <w:tc>
          <w:tcPr>
            <w:tcW w:w="1135" w:type="dxa"/>
            <w:vAlign w:val="center"/>
          </w:tcPr>
          <w:p w:rsidR="00B36E17" w:rsidRPr="00036622" w:rsidRDefault="00B36E17" w:rsidP="00B36E17">
            <w:pPr>
              <w:spacing w:after="0"/>
              <w:jc w:val="center"/>
              <w:rPr>
                <w:rFonts w:cs="Arial"/>
              </w:rPr>
            </w:pPr>
            <w:r w:rsidRPr="00036622">
              <w:rPr>
                <w:rFonts w:cs="Arial"/>
              </w:rPr>
              <w:t>92,7</w:t>
            </w:r>
          </w:p>
        </w:tc>
        <w:tc>
          <w:tcPr>
            <w:tcW w:w="1135" w:type="dxa"/>
            <w:shd w:val="clear" w:color="auto" w:fill="auto"/>
            <w:noWrap/>
            <w:vAlign w:val="center"/>
          </w:tcPr>
          <w:p w:rsidR="00B36E17" w:rsidRPr="00B36E17" w:rsidRDefault="00B36E17" w:rsidP="00B36E17">
            <w:pPr>
              <w:spacing w:after="0"/>
              <w:jc w:val="center"/>
              <w:rPr>
                <w:rFonts w:cs="Arial"/>
              </w:rPr>
            </w:pPr>
            <w:r w:rsidRPr="00B36E17">
              <w:rPr>
                <w:rFonts w:cs="Arial"/>
              </w:rPr>
              <w:t>90,2</w:t>
            </w:r>
          </w:p>
        </w:tc>
        <w:tc>
          <w:tcPr>
            <w:tcW w:w="1264" w:type="dxa"/>
            <w:tcBorders>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-2,7</w:t>
            </w:r>
          </w:p>
        </w:tc>
      </w:tr>
      <w:tr w:rsidR="00B36E17" w:rsidRPr="009C573C" w:rsidTr="00F34972">
        <w:trPr>
          <w:trHeight w:val="213"/>
        </w:trPr>
        <w:tc>
          <w:tcPr>
            <w:tcW w:w="6675" w:type="dxa"/>
            <w:tcBorders>
              <w:left w:val="single" w:sz="4" w:space="0" w:color="auto"/>
              <w:bottom w:val="single" w:sz="4" w:space="0" w:color="auto"/>
            </w:tcBorders>
            <w:shd w:val="clear" w:color="auto" w:fill="auto"/>
            <w:vAlign w:val="center"/>
          </w:tcPr>
          <w:p w:rsidR="00B36E17" w:rsidRPr="007A049E" w:rsidRDefault="00B36E17" w:rsidP="00B36E17">
            <w:pPr>
              <w:spacing w:after="0" w:line="360" w:lineRule="auto"/>
              <w:rPr>
                <w:rFonts w:cs="Arial"/>
                <w:sz w:val="20"/>
                <w:szCs w:val="20"/>
              </w:rPr>
            </w:pPr>
            <w:r w:rsidRPr="007A049E">
              <w:rPr>
                <w:rFonts w:cs="Arial"/>
                <w:sz w:val="20"/>
                <w:szCs w:val="20"/>
              </w:rPr>
              <w:t>Matériel photographique et cinématographique et appareils optiques</w:t>
            </w:r>
          </w:p>
        </w:tc>
        <w:tc>
          <w:tcPr>
            <w:tcW w:w="1135" w:type="dxa"/>
            <w:tcBorders>
              <w:bottom w:val="single" w:sz="4" w:space="0" w:color="auto"/>
            </w:tcBorders>
            <w:vAlign w:val="center"/>
          </w:tcPr>
          <w:p w:rsidR="00B36E17" w:rsidRPr="006D4D08" w:rsidRDefault="00B36E17" w:rsidP="00B36E17">
            <w:pPr>
              <w:spacing w:after="0"/>
              <w:jc w:val="center"/>
              <w:rPr>
                <w:rFonts w:cs="Arial"/>
              </w:rPr>
            </w:pPr>
            <w:r w:rsidRPr="006D4D08">
              <w:rPr>
                <w:rFonts w:cs="Arial"/>
              </w:rPr>
              <w:t>99,3</w:t>
            </w:r>
          </w:p>
        </w:tc>
        <w:tc>
          <w:tcPr>
            <w:tcW w:w="1135" w:type="dxa"/>
            <w:tcBorders>
              <w:bottom w:val="single" w:sz="4" w:space="0" w:color="auto"/>
            </w:tcBorders>
            <w:vAlign w:val="center"/>
          </w:tcPr>
          <w:p w:rsidR="00B36E17" w:rsidRPr="00036622" w:rsidRDefault="00B36E17" w:rsidP="00B36E17">
            <w:pPr>
              <w:spacing w:after="0"/>
              <w:jc w:val="center"/>
              <w:rPr>
                <w:rFonts w:cs="Arial"/>
              </w:rPr>
            </w:pPr>
            <w:r w:rsidRPr="00036622">
              <w:rPr>
                <w:rFonts w:cs="Arial"/>
              </w:rPr>
              <w:t>99,5</w:t>
            </w:r>
          </w:p>
        </w:tc>
        <w:tc>
          <w:tcPr>
            <w:tcW w:w="1135" w:type="dxa"/>
            <w:tcBorders>
              <w:bottom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99,6</w:t>
            </w:r>
          </w:p>
        </w:tc>
        <w:tc>
          <w:tcPr>
            <w:tcW w:w="1264" w:type="dxa"/>
            <w:tcBorders>
              <w:bottom w:val="single" w:sz="4" w:space="0" w:color="auto"/>
              <w:right w:val="single" w:sz="4" w:space="0" w:color="auto"/>
            </w:tcBorders>
            <w:shd w:val="clear" w:color="auto" w:fill="auto"/>
            <w:noWrap/>
            <w:vAlign w:val="center"/>
          </w:tcPr>
          <w:p w:rsidR="00B36E17" w:rsidRPr="00B36E17" w:rsidRDefault="00B36E17" w:rsidP="00B36E17">
            <w:pPr>
              <w:spacing w:after="0"/>
              <w:jc w:val="center"/>
              <w:rPr>
                <w:rFonts w:cs="Arial"/>
              </w:rPr>
            </w:pPr>
            <w:r w:rsidRPr="00B36E17">
              <w:rPr>
                <w:rFonts w:cs="Arial"/>
              </w:rPr>
              <w:t>0,1</w:t>
            </w:r>
          </w:p>
        </w:tc>
      </w:tr>
    </w:tbl>
    <w:p w:rsidR="007B3E14" w:rsidRDefault="007B3E14" w:rsidP="00787334">
      <w:pPr>
        <w:spacing w:after="0"/>
        <w:ind w:right="-1136"/>
        <w:jc w:val="center"/>
        <w:rPr>
          <w:b/>
          <w:bCs/>
          <w:color w:val="E36C0A" w:themeColor="accent6" w:themeShade="BF"/>
        </w:rPr>
      </w:pPr>
      <w:r w:rsidRPr="007B3E14">
        <w:rPr>
          <w:b/>
          <w:bCs/>
          <w:sz w:val="16"/>
          <w:szCs w:val="16"/>
        </w:rPr>
        <w:t>Source : HCP</w:t>
      </w:r>
    </w:p>
    <w:p w:rsidR="00DE67E4" w:rsidRPr="009C573C" w:rsidRDefault="00DE67E4" w:rsidP="00DE67E4">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DE67E4" w:rsidRDefault="0060034A" w:rsidP="00DE67E4">
      <w:pPr>
        <w:spacing w:after="0"/>
        <w:jc w:val="center"/>
        <w:rPr>
          <w:b/>
          <w:bCs/>
          <w:color w:val="E36C0A" w:themeColor="accent6" w:themeShade="BF"/>
        </w:rPr>
      </w:pPr>
      <w:r>
        <w:rPr>
          <w:b/>
          <w:bCs/>
          <w:color w:val="E36C0A" w:themeColor="accent6" w:themeShade="BF"/>
        </w:rPr>
        <w:t xml:space="preserve">Ville de </w:t>
      </w:r>
      <w:r w:rsidR="004E1B6B">
        <w:rPr>
          <w:b/>
          <w:bCs/>
          <w:color w:val="E36C0A" w:themeColor="accent6" w:themeShade="BF"/>
        </w:rPr>
        <w:t>Rabat (</w:t>
      </w:r>
      <w:r w:rsidR="00DE67E4" w:rsidRPr="009C573C">
        <w:rPr>
          <w:b/>
          <w:bCs/>
          <w:color w:val="E36C0A" w:themeColor="accent6" w:themeShade="BF"/>
        </w:rPr>
        <w:t>Suite)</w:t>
      </w:r>
    </w:p>
    <w:tbl>
      <w:tblPr>
        <w:tblW w:w="11124" w:type="dxa"/>
        <w:tblInd w:w="-923" w:type="dxa"/>
        <w:tblCellMar>
          <w:left w:w="70" w:type="dxa"/>
          <w:right w:w="70" w:type="dxa"/>
        </w:tblCellMar>
        <w:tblLook w:val="04A0"/>
      </w:tblPr>
      <w:tblGrid>
        <w:gridCol w:w="6303"/>
        <w:gridCol w:w="1070"/>
        <w:gridCol w:w="1070"/>
        <w:gridCol w:w="1134"/>
        <w:gridCol w:w="1547"/>
      </w:tblGrid>
      <w:tr w:rsidR="00386743" w:rsidRPr="009C573C" w:rsidTr="000E06B1">
        <w:trPr>
          <w:trHeight w:val="362"/>
        </w:trPr>
        <w:tc>
          <w:tcPr>
            <w:tcW w:w="6303" w:type="dxa"/>
            <w:tcBorders>
              <w:top w:val="single" w:sz="4" w:space="0" w:color="auto"/>
              <w:left w:val="single" w:sz="4" w:space="0" w:color="auto"/>
            </w:tcBorders>
            <w:shd w:val="clear" w:color="auto" w:fill="F79646" w:themeFill="accent6"/>
            <w:vAlign w:val="center"/>
            <w:hideMark/>
          </w:tcPr>
          <w:p w:rsidR="00386743" w:rsidRPr="009C573C" w:rsidRDefault="00386743" w:rsidP="00386743">
            <w:pPr>
              <w:spacing w:after="0" w:line="240" w:lineRule="auto"/>
              <w:rPr>
                <w:rFonts w:cs="Arial"/>
                <w:b/>
                <w:bCs/>
              </w:rPr>
            </w:pPr>
            <w:r w:rsidRPr="009C573C">
              <w:rPr>
                <w:rFonts w:cs="Arial"/>
                <w:b/>
                <w:bCs/>
              </w:rPr>
              <w:t>DIVISIONS, GROUPES ET CLASSES</w:t>
            </w:r>
          </w:p>
        </w:tc>
        <w:tc>
          <w:tcPr>
            <w:tcW w:w="1070" w:type="dxa"/>
            <w:tcBorders>
              <w:top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2020</w:t>
            </w:r>
          </w:p>
        </w:tc>
        <w:tc>
          <w:tcPr>
            <w:tcW w:w="1070" w:type="dxa"/>
            <w:tcBorders>
              <w:top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2021</w:t>
            </w:r>
          </w:p>
        </w:tc>
        <w:tc>
          <w:tcPr>
            <w:tcW w:w="1134" w:type="dxa"/>
            <w:tcBorders>
              <w:top w:val="single" w:sz="4" w:space="0" w:color="auto"/>
            </w:tcBorders>
            <w:shd w:val="clear" w:color="auto" w:fill="F79646" w:themeFill="accent6"/>
            <w:noWrap/>
            <w:vAlign w:val="center"/>
            <w:hideMark/>
          </w:tcPr>
          <w:p w:rsidR="00386743" w:rsidRPr="009C573C" w:rsidRDefault="00386743" w:rsidP="00386743">
            <w:pPr>
              <w:spacing w:after="0" w:line="240" w:lineRule="auto"/>
              <w:jc w:val="center"/>
              <w:rPr>
                <w:rFonts w:cs="Arial"/>
                <w:b/>
                <w:bCs/>
              </w:rPr>
            </w:pPr>
            <w:r>
              <w:rPr>
                <w:rFonts w:cs="Arial"/>
                <w:b/>
                <w:bCs/>
              </w:rPr>
              <w:t>2022</w:t>
            </w:r>
          </w:p>
        </w:tc>
        <w:tc>
          <w:tcPr>
            <w:tcW w:w="1547" w:type="dxa"/>
            <w:tcBorders>
              <w:top w:val="single" w:sz="4" w:space="0" w:color="auto"/>
              <w:right w:val="single" w:sz="4" w:space="0" w:color="auto"/>
            </w:tcBorders>
            <w:shd w:val="clear" w:color="auto" w:fill="F79646" w:themeFill="accent6"/>
            <w:noWrap/>
            <w:vAlign w:val="center"/>
            <w:hideMark/>
          </w:tcPr>
          <w:p w:rsidR="00386743" w:rsidRPr="009C573C" w:rsidRDefault="000E06B1" w:rsidP="00386743">
            <w:pPr>
              <w:spacing w:after="0" w:line="240" w:lineRule="auto"/>
              <w:jc w:val="center"/>
              <w:rPr>
                <w:rFonts w:cs="Arial"/>
                <w:b/>
                <w:bCs/>
              </w:rPr>
            </w:pPr>
            <w:r w:rsidRPr="009C573C">
              <w:rPr>
                <w:rFonts w:cs="Arial"/>
                <w:b/>
                <w:bCs/>
              </w:rPr>
              <w:t>VAR (%)</w:t>
            </w:r>
            <w:r>
              <w:rPr>
                <w:rFonts w:cs="Arial"/>
                <w:b/>
                <w:bCs/>
              </w:rPr>
              <w:t xml:space="preserve"> (2022/2021)</w:t>
            </w:r>
          </w:p>
        </w:tc>
      </w:tr>
      <w:tr w:rsidR="00CB7AF0" w:rsidRPr="009C573C" w:rsidTr="000E06B1">
        <w:trPr>
          <w:trHeight w:val="20"/>
        </w:trPr>
        <w:tc>
          <w:tcPr>
            <w:tcW w:w="6303" w:type="dxa"/>
            <w:tcBorders>
              <w:top w:val="single" w:sz="4" w:space="0" w:color="auto"/>
              <w:left w:val="single" w:sz="4" w:space="0" w:color="auto"/>
            </w:tcBorders>
            <w:shd w:val="clear" w:color="auto" w:fill="auto"/>
            <w:vAlign w:val="center"/>
          </w:tcPr>
          <w:p w:rsidR="00CB7AF0" w:rsidRPr="007A049E" w:rsidRDefault="00CB7AF0" w:rsidP="00CB7AF0">
            <w:pPr>
              <w:spacing w:after="0" w:line="360" w:lineRule="auto"/>
              <w:rPr>
                <w:rFonts w:cs="Arial"/>
                <w:sz w:val="20"/>
                <w:szCs w:val="20"/>
              </w:rPr>
            </w:pPr>
            <w:r w:rsidRPr="007A049E">
              <w:rPr>
                <w:rFonts w:cs="Arial"/>
                <w:sz w:val="20"/>
                <w:szCs w:val="20"/>
              </w:rPr>
              <w:t>Matériel de traitement de l'information</w:t>
            </w:r>
          </w:p>
        </w:tc>
        <w:tc>
          <w:tcPr>
            <w:tcW w:w="1070" w:type="dxa"/>
            <w:tcBorders>
              <w:top w:val="single" w:sz="4" w:space="0" w:color="auto"/>
            </w:tcBorders>
            <w:vAlign w:val="center"/>
          </w:tcPr>
          <w:p w:rsidR="00CB7AF0" w:rsidRPr="006D4D08" w:rsidRDefault="00CB7AF0" w:rsidP="00CB7AF0">
            <w:pPr>
              <w:spacing w:after="0"/>
              <w:jc w:val="center"/>
              <w:rPr>
                <w:rFonts w:cs="Arial"/>
              </w:rPr>
            </w:pPr>
            <w:r w:rsidRPr="006D4D08">
              <w:rPr>
                <w:rFonts w:cs="Arial"/>
              </w:rPr>
              <w:t>100,0</w:t>
            </w:r>
          </w:p>
        </w:tc>
        <w:tc>
          <w:tcPr>
            <w:tcW w:w="1070" w:type="dxa"/>
            <w:tcBorders>
              <w:top w:val="single" w:sz="4" w:space="0" w:color="auto"/>
            </w:tcBorders>
            <w:vAlign w:val="center"/>
          </w:tcPr>
          <w:p w:rsidR="00CB7AF0" w:rsidRPr="00787334" w:rsidRDefault="00CB7AF0" w:rsidP="00CB7AF0">
            <w:pPr>
              <w:spacing w:after="0"/>
              <w:jc w:val="center"/>
              <w:rPr>
                <w:rFonts w:cs="Arial"/>
              </w:rPr>
            </w:pPr>
            <w:r w:rsidRPr="00787334">
              <w:rPr>
                <w:rFonts w:cs="Arial"/>
              </w:rPr>
              <w:t>99,9</w:t>
            </w:r>
          </w:p>
        </w:tc>
        <w:tc>
          <w:tcPr>
            <w:tcW w:w="1134" w:type="dxa"/>
            <w:tcBorders>
              <w:top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99,3</w:t>
            </w:r>
          </w:p>
        </w:tc>
        <w:tc>
          <w:tcPr>
            <w:tcW w:w="1547" w:type="dxa"/>
            <w:tcBorders>
              <w:top w:val="single" w:sz="4" w:space="0" w:color="auto"/>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-0,6</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7A049E" w:rsidRDefault="00CB7AF0" w:rsidP="00CB7AF0">
            <w:pPr>
              <w:spacing w:after="0" w:line="360" w:lineRule="auto"/>
              <w:rPr>
                <w:rFonts w:cs="Arial"/>
                <w:sz w:val="20"/>
                <w:szCs w:val="20"/>
              </w:rPr>
            </w:pPr>
            <w:r w:rsidRPr="007A049E">
              <w:rPr>
                <w:rFonts w:cs="Arial"/>
                <w:sz w:val="20"/>
                <w:szCs w:val="20"/>
              </w:rPr>
              <w:t>Supports d'enregistrement</w:t>
            </w:r>
          </w:p>
        </w:tc>
        <w:tc>
          <w:tcPr>
            <w:tcW w:w="1070" w:type="dxa"/>
            <w:vAlign w:val="center"/>
          </w:tcPr>
          <w:p w:rsidR="00CB7AF0" w:rsidRPr="006D4D08" w:rsidRDefault="00CB7AF0" w:rsidP="00CB7AF0">
            <w:pPr>
              <w:spacing w:after="0"/>
              <w:jc w:val="center"/>
              <w:rPr>
                <w:rFonts w:cs="Arial"/>
              </w:rPr>
            </w:pPr>
            <w:r w:rsidRPr="006D4D08">
              <w:rPr>
                <w:rFonts w:cs="Arial"/>
              </w:rPr>
              <w:t>99,0</w:t>
            </w:r>
          </w:p>
        </w:tc>
        <w:tc>
          <w:tcPr>
            <w:tcW w:w="1070" w:type="dxa"/>
            <w:vAlign w:val="center"/>
          </w:tcPr>
          <w:p w:rsidR="00CB7AF0" w:rsidRPr="00787334" w:rsidRDefault="00CB7AF0" w:rsidP="00CB7AF0">
            <w:pPr>
              <w:spacing w:after="0"/>
              <w:jc w:val="center"/>
              <w:rPr>
                <w:rFonts w:cs="Arial"/>
              </w:rPr>
            </w:pPr>
            <w:r w:rsidRPr="00787334">
              <w:rPr>
                <w:rFonts w:cs="Arial"/>
              </w:rPr>
              <w:t>99,0</w:t>
            </w:r>
          </w:p>
        </w:tc>
        <w:tc>
          <w:tcPr>
            <w:tcW w:w="1134" w:type="dxa"/>
            <w:shd w:val="clear" w:color="auto" w:fill="auto"/>
            <w:noWrap/>
            <w:vAlign w:val="center"/>
          </w:tcPr>
          <w:p w:rsidR="00CB7AF0" w:rsidRPr="00CB7AF0" w:rsidRDefault="00CB7AF0" w:rsidP="00CB7AF0">
            <w:pPr>
              <w:spacing w:after="0"/>
              <w:jc w:val="center"/>
              <w:rPr>
                <w:rFonts w:cs="Arial"/>
              </w:rPr>
            </w:pPr>
            <w:r w:rsidRPr="00CB7AF0">
              <w:rPr>
                <w:rFonts w:cs="Arial"/>
              </w:rPr>
              <w:t>99,0</w:t>
            </w:r>
          </w:p>
        </w:tc>
        <w:tc>
          <w:tcPr>
            <w:tcW w:w="1547" w:type="dxa"/>
            <w:tcBorders>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7A049E" w:rsidRDefault="00CB7AF0" w:rsidP="00CB7AF0">
            <w:pPr>
              <w:tabs>
                <w:tab w:val="left" w:pos="5784"/>
              </w:tabs>
              <w:spacing w:after="0" w:line="360" w:lineRule="auto"/>
              <w:ind w:left="-70" w:firstLine="70"/>
              <w:rPr>
                <w:rFonts w:cs="Arial"/>
                <w:sz w:val="20"/>
                <w:szCs w:val="20"/>
              </w:rPr>
            </w:pPr>
            <w:r w:rsidRPr="007A049E">
              <w:rPr>
                <w:rFonts w:cs="Arial"/>
                <w:sz w:val="20"/>
                <w:szCs w:val="20"/>
              </w:rPr>
              <w:t xml:space="preserve">Réparation de matériel audiovisuel, photographique et de traitement de </w:t>
            </w:r>
            <w:r w:rsidRPr="00787334">
              <w:rPr>
                <w:rFonts w:cs="Arial"/>
                <w:sz w:val="16"/>
                <w:szCs w:val="16"/>
              </w:rPr>
              <w:t>l'information</w:t>
            </w:r>
          </w:p>
        </w:tc>
        <w:tc>
          <w:tcPr>
            <w:tcW w:w="1070" w:type="dxa"/>
            <w:vAlign w:val="center"/>
          </w:tcPr>
          <w:p w:rsidR="00CB7AF0" w:rsidRPr="006D4D08" w:rsidRDefault="00CB7AF0" w:rsidP="00CB7AF0">
            <w:pPr>
              <w:spacing w:after="0"/>
              <w:jc w:val="center"/>
              <w:rPr>
                <w:rFonts w:cs="Arial"/>
              </w:rPr>
            </w:pPr>
            <w:r w:rsidRPr="006D4D08">
              <w:rPr>
                <w:rFonts w:cs="Arial"/>
              </w:rPr>
              <w:t>101,8</w:t>
            </w:r>
          </w:p>
        </w:tc>
        <w:tc>
          <w:tcPr>
            <w:tcW w:w="1070" w:type="dxa"/>
            <w:vAlign w:val="center"/>
          </w:tcPr>
          <w:p w:rsidR="00CB7AF0" w:rsidRPr="00787334" w:rsidRDefault="00CB7AF0" w:rsidP="00CB7AF0">
            <w:pPr>
              <w:spacing w:after="0"/>
              <w:jc w:val="center"/>
              <w:rPr>
                <w:rFonts w:cs="Arial"/>
              </w:rPr>
            </w:pPr>
            <w:r w:rsidRPr="00787334">
              <w:rPr>
                <w:rFonts w:cs="Arial"/>
              </w:rPr>
              <w:t>101,8</w:t>
            </w:r>
          </w:p>
        </w:tc>
        <w:tc>
          <w:tcPr>
            <w:tcW w:w="1134" w:type="dxa"/>
            <w:shd w:val="clear" w:color="auto" w:fill="auto"/>
            <w:noWrap/>
            <w:vAlign w:val="center"/>
          </w:tcPr>
          <w:p w:rsidR="00CB7AF0" w:rsidRPr="00CB7AF0" w:rsidRDefault="00CB7AF0" w:rsidP="00CB7AF0">
            <w:pPr>
              <w:spacing w:after="0"/>
              <w:jc w:val="center"/>
              <w:rPr>
                <w:rFonts w:cs="Arial"/>
              </w:rPr>
            </w:pPr>
            <w:r w:rsidRPr="00CB7AF0">
              <w:rPr>
                <w:rFonts w:cs="Arial"/>
              </w:rPr>
              <w:t>101,8</w:t>
            </w:r>
          </w:p>
        </w:tc>
        <w:tc>
          <w:tcPr>
            <w:tcW w:w="1547" w:type="dxa"/>
            <w:tcBorders>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7A049E" w:rsidRDefault="00CB7AF0" w:rsidP="00CB7AF0">
            <w:pPr>
              <w:spacing w:after="0" w:line="360" w:lineRule="auto"/>
              <w:rPr>
                <w:rFonts w:cs="Arial"/>
                <w:sz w:val="20"/>
                <w:szCs w:val="20"/>
              </w:rPr>
            </w:pPr>
            <w:r w:rsidRPr="007A049E">
              <w:rPr>
                <w:rFonts w:cs="Arial"/>
                <w:sz w:val="20"/>
                <w:szCs w:val="20"/>
              </w:rPr>
              <w:t>Autres biens durables à fonction récréative et  culturelle</w:t>
            </w:r>
          </w:p>
        </w:tc>
        <w:tc>
          <w:tcPr>
            <w:tcW w:w="1070" w:type="dxa"/>
            <w:tcBorders>
              <w:top w:val="nil"/>
            </w:tcBorders>
            <w:vAlign w:val="center"/>
          </w:tcPr>
          <w:p w:rsidR="00CB7AF0" w:rsidRPr="006D4D08" w:rsidRDefault="00CB7AF0" w:rsidP="00CB7AF0">
            <w:pPr>
              <w:spacing w:after="0"/>
              <w:jc w:val="center"/>
              <w:rPr>
                <w:rFonts w:cs="Arial"/>
              </w:rPr>
            </w:pPr>
            <w:r w:rsidRPr="006D4D08">
              <w:rPr>
                <w:rFonts w:cs="Arial"/>
              </w:rPr>
              <w:t>100,0</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100,0</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100,0</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7A049E" w:rsidRDefault="00CB7AF0" w:rsidP="00CB7AF0">
            <w:pPr>
              <w:spacing w:after="0" w:line="360" w:lineRule="auto"/>
              <w:rPr>
                <w:rFonts w:cs="Arial"/>
                <w:sz w:val="20"/>
                <w:szCs w:val="20"/>
              </w:rPr>
            </w:pPr>
            <w:r w:rsidRPr="007A049E">
              <w:rPr>
                <w:rFonts w:cs="Arial"/>
                <w:sz w:val="20"/>
                <w:szCs w:val="20"/>
              </w:rPr>
              <w:t>Instruments de musique et biens durables destinés aux loisirs d'intérieur</w:t>
            </w:r>
          </w:p>
        </w:tc>
        <w:tc>
          <w:tcPr>
            <w:tcW w:w="1070" w:type="dxa"/>
            <w:tcBorders>
              <w:top w:val="nil"/>
            </w:tcBorders>
            <w:vAlign w:val="center"/>
          </w:tcPr>
          <w:p w:rsidR="00CB7AF0" w:rsidRPr="006D4D08" w:rsidRDefault="00CB7AF0" w:rsidP="00CB7AF0">
            <w:pPr>
              <w:spacing w:after="0"/>
              <w:jc w:val="center"/>
              <w:rPr>
                <w:rFonts w:cs="Arial"/>
              </w:rPr>
            </w:pPr>
            <w:r w:rsidRPr="006D4D08">
              <w:rPr>
                <w:rFonts w:cs="Arial"/>
              </w:rPr>
              <w:t>100,0</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100,0</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100,0</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Autres articles et matériel de loisirs, de jardinage et animation</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98,3</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98,1</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98,4</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0,3</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Jeux, jouets et passe-temps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99,8</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99,3</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100,0</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0,7</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Articles de sport, matériel de camping et maté</w:t>
            </w:r>
            <w:r w:rsidR="000E06B1">
              <w:rPr>
                <w:rFonts w:cs="Arial"/>
              </w:rPr>
              <w:t>riel pour activités ple</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96,3</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96,3</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96,3</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Produits pour jardins, plantes et fleurs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105,7</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105,7</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105,7</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Services récréatifs et culturels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104,3</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104,4</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105,6</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1,1</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Services récréatifs et sportifs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103,2</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103,3</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105,3</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1,9</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Services culturels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107,6</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107,7</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107,7</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Jeux de hasard</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100,0</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100,0</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100,0</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Journaux, livres et articles de papeterie</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100,7</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103,2</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104,0</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0,8</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Livres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100,0</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100,0</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100,0</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Journaux et publications périodiques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103,2</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118,9</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118,9</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Papeterie et matériel de dessin</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101,6</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101,6</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108,8</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7,1</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Forfaits touristiques</w:t>
            </w:r>
          </w:p>
        </w:tc>
        <w:tc>
          <w:tcPr>
            <w:tcW w:w="1070" w:type="dxa"/>
            <w:tcBorders>
              <w:top w:val="nil"/>
            </w:tcBorders>
            <w:vAlign w:val="center"/>
          </w:tcPr>
          <w:p w:rsidR="00CB7AF0" w:rsidRPr="006D4D08" w:rsidRDefault="00CB7AF0" w:rsidP="00CB7AF0">
            <w:pPr>
              <w:spacing w:after="0" w:line="360" w:lineRule="auto"/>
              <w:jc w:val="center"/>
              <w:rPr>
                <w:rFonts w:cs="Arial"/>
              </w:rPr>
            </w:pPr>
            <w:r w:rsidRPr="006D4D08">
              <w:rPr>
                <w:rFonts w:cs="Arial"/>
              </w:rPr>
              <w:t>108,6</w:t>
            </w:r>
          </w:p>
        </w:tc>
        <w:tc>
          <w:tcPr>
            <w:tcW w:w="1070" w:type="dxa"/>
            <w:tcBorders>
              <w:top w:val="nil"/>
            </w:tcBorders>
            <w:vAlign w:val="center"/>
          </w:tcPr>
          <w:p w:rsidR="00CB7AF0" w:rsidRPr="00787334" w:rsidRDefault="00CB7AF0" w:rsidP="00CB7AF0">
            <w:pPr>
              <w:spacing w:after="0"/>
              <w:jc w:val="center"/>
              <w:rPr>
                <w:rFonts w:cs="Arial"/>
              </w:rPr>
            </w:pPr>
            <w:r w:rsidRPr="00787334">
              <w:rPr>
                <w:rFonts w:cs="Arial"/>
              </w:rPr>
              <w:t>108,6</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118,5</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9,1</w:t>
            </w:r>
          </w:p>
        </w:tc>
      </w:tr>
      <w:tr w:rsidR="00CB7AF0" w:rsidRPr="009C573C" w:rsidTr="000E06B1">
        <w:trPr>
          <w:trHeight w:val="20"/>
        </w:trPr>
        <w:tc>
          <w:tcPr>
            <w:tcW w:w="6303" w:type="dxa"/>
            <w:tcBorders>
              <w:top w:val="nil"/>
              <w:left w:val="single" w:sz="4" w:space="0" w:color="auto"/>
              <w:bottom w:val="nil"/>
            </w:tcBorders>
            <w:shd w:val="clear" w:color="auto" w:fill="auto"/>
            <w:vAlign w:val="center"/>
          </w:tcPr>
          <w:p w:rsidR="00CB7AF0" w:rsidRPr="00825FF4" w:rsidRDefault="00CB7AF0" w:rsidP="00CB7AF0">
            <w:pPr>
              <w:spacing w:after="0" w:line="360" w:lineRule="auto"/>
              <w:rPr>
                <w:rFonts w:cs="Arial"/>
              </w:rPr>
            </w:pPr>
            <w:r w:rsidRPr="00825FF4">
              <w:rPr>
                <w:rFonts w:cs="Arial"/>
              </w:rPr>
              <w:t>Forfaits touristiques</w:t>
            </w:r>
          </w:p>
        </w:tc>
        <w:tc>
          <w:tcPr>
            <w:tcW w:w="1070" w:type="dxa"/>
            <w:tcBorders>
              <w:top w:val="nil"/>
              <w:bottom w:val="nil"/>
            </w:tcBorders>
            <w:vAlign w:val="center"/>
          </w:tcPr>
          <w:p w:rsidR="00CB7AF0" w:rsidRPr="006D4D08" w:rsidRDefault="00CB7AF0" w:rsidP="00CB7AF0">
            <w:pPr>
              <w:spacing w:after="0" w:line="360" w:lineRule="auto"/>
              <w:jc w:val="center"/>
              <w:rPr>
                <w:rFonts w:cs="Arial"/>
              </w:rPr>
            </w:pPr>
            <w:r w:rsidRPr="006D4D08">
              <w:rPr>
                <w:rFonts w:cs="Arial"/>
              </w:rPr>
              <w:t>108,6</w:t>
            </w:r>
          </w:p>
        </w:tc>
        <w:tc>
          <w:tcPr>
            <w:tcW w:w="1070" w:type="dxa"/>
            <w:tcBorders>
              <w:top w:val="nil"/>
              <w:bottom w:val="nil"/>
            </w:tcBorders>
            <w:vAlign w:val="center"/>
          </w:tcPr>
          <w:p w:rsidR="00CB7AF0" w:rsidRDefault="00CB7AF0" w:rsidP="00CB7AF0">
            <w:pPr>
              <w:spacing w:after="0" w:line="360" w:lineRule="auto"/>
              <w:jc w:val="center"/>
              <w:rPr>
                <w:rFonts w:ascii="Arial" w:hAnsi="Arial" w:cs="Arial"/>
                <w:sz w:val="18"/>
                <w:szCs w:val="18"/>
              </w:rPr>
            </w:pPr>
            <w:r w:rsidRPr="00924DE8">
              <w:rPr>
                <w:rFonts w:cs="Arial"/>
              </w:rPr>
              <w:t>108</w:t>
            </w:r>
            <w:r>
              <w:rPr>
                <w:rFonts w:ascii="Arial" w:hAnsi="Arial" w:cs="Arial"/>
                <w:sz w:val="18"/>
                <w:szCs w:val="18"/>
              </w:rPr>
              <w:t>,6</w:t>
            </w:r>
          </w:p>
        </w:tc>
        <w:tc>
          <w:tcPr>
            <w:tcW w:w="1134" w:type="dxa"/>
            <w:tcBorders>
              <w:top w:val="nil"/>
              <w:bottom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118,5</w:t>
            </w:r>
          </w:p>
        </w:tc>
        <w:tc>
          <w:tcPr>
            <w:tcW w:w="1547" w:type="dxa"/>
            <w:tcBorders>
              <w:top w:val="nil"/>
              <w:bottom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9,1</w:t>
            </w:r>
          </w:p>
        </w:tc>
      </w:tr>
      <w:tr w:rsidR="00CB7AF0" w:rsidRPr="009C573C" w:rsidTr="000E06B1">
        <w:trPr>
          <w:trHeight w:val="20"/>
        </w:trPr>
        <w:tc>
          <w:tcPr>
            <w:tcW w:w="6303" w:type="dxa"/>
            <w:tcBorders>
              <w:top w:val="nil"/>
              <w:left w:val="single" w:sz="4" w:space="0" w:color="auto"/>
              <w:bottom w:val="nil"/>
            </w:tcBorders>
            <w:shd w:val="clear" w:color="auto" w:fill="FABF8F" w:themeFill="accent6" w:themeFillTint="99"/>
            <w:vAlign w:val="center"/>
          </w:tcPr>
          <w:p w:rsidR="00CB7AF0" w:rsidRPr="00C7222D" w:rsidRDefault="00CB7AF0" w:rsidP="00CB7AF0">
            <w:pPr>
              <w:spacing w:after="0"/>
              <w:rPr>
                <w:rFonts w:cs="Arial"/>
                <w:b/>
                <w:bCs/>
              </w:rPr>
            </w:pPr>
            <w:r w:rsidRPr="00C7222D">
              <w:rPr>
                <w:rFonts w:cs="Arial"/>
                <w:b/>
                <w:bCs/>
              </w:rPr>
              <w:t>10-Enseignement</w:t>
            </w:r>
          </w:p>
        </w:tc>
        <w:tc>
          <w:tcPr>
            <w:tcW w:w="1070" w:type="dxa"/>
            <w:tcBorders>
              <w:top w:val="nil"/>
              <w:bottom w:val="nil"/>
            </w:tcBorders>
            <w:shd w:val="clear" w:color="auto" w:fill="FABF8F" w:themeFill="accent6" w:themeFillTint="99"/>
            <w:vAlign w:val="center"/>
          </w:tcPr>
          <w:p w:rsidR="00CB7AF0" w:rsidRPr="008B1BFB" w:rsidRDefault="00CB7AF0" w:rsidP="00CB7AF0">
            <w:pPr>
              <w:spacing w:after="0"/>
              <w:jc w:val="center"/>
              <w:rPr>
                <w:rFonts w:cs="Arial"/>
                <w:b/>
                <w:bCs/>
              </w:rPr>
            </w:pPr>
            <w:r w:rsidRPr="008B1BFB">
              <w:rPr>
                <w:rFonts w:cs="Arial"/>
                <w:b/>
                <w:bCs/>
              </w:rPr>
              <w:t>107,0</w:t>
            </w:r>
          </w:p>
        </w:tc>
        <w:tc>
          <w:tcPr>
            <w:tcW w:w="1070" w:type="dxa"/>
            <w:tcBorders>
              <w:top w:val="nil"/>
              <w:bottom w:val="nil"/>
            </w:tcBorders>
            <w:shd w:val="clear" w:color="auto" w:fill="FABF8F" w:themeFill="accent6" w:themeFillTint="99"/>
            <w:vAlign w:val="center"/>
          </w:tcPr>
          <w:p w:rsidR="00CB7AF0" w:rsidRPr="00924DE8" w:rsidRDefault="00CB7AF0" w:rsidP="00CB7AF0">
            <w:pPr>
              <w:spacing w:after="0"/>
              <w:jc w:val="center"/>
              <w:rPr>
                <w:rFonts w:cs="Arial"/>
                <w:b/>
                <w:bCs/>
              </w:rPr>
            </w:pPr>
            <w:r w:rsidRPr="00924DE8">
              <w:rPr>
                <w:rFonts w:cs="Arial"/>
                <w:b/>
                <w:bCs/>
              </w:rPr>
              <w:t>108,4</w:t>
            </w:r>
          </w:p>
        </w:tc>
        <w:tc>
          <w:tcPr>
            <w:tcW w:w="1134" w:type="dxa"/>
            <w:tcBorders>
              <w:top w:val="nil"/>
              <w:bottom w:val="nil"/>
            </w:tcBorders>
            <w:shd w:val="clear" w:color="auto" w:fill="FABF8F" w:themeFill="accent6" w:themeFillTint="99"/>
            <w:noWrap/>
            <w:vAlign w:val="center"/>
          </w:tcPr>
          <w:p w:rsidR="00CB7AF0" w:rsidRPr="00CB7AF0" w:rsidRDefault="00CB7AF0" w:rsidP="00CB7AF0">
            <w:pPr>
              <w:spacing w:after="0"/>
              <w:jc w:val="center"/>
              <w:rPr>
                <w:rFonts w:cs="Arial"/>
                <w:b/>
                <w:bCs/>
              </w:rPr>
            </w:pPr>
            <w:r w:rsidRPr="00CB7AF0">
              <w:rPr>
                <w:rFonts w:cs="Arial"/>
                <w:b/>
                <w:bCs/>
              </w:rPr>
              <w:t>109,6</w:t>
            </w:r>
          </w:p>
        </w:tc>
        <w:tc>
          <w:tcPr>
            <w:tcW w:w="1547" w:type="dxa"/>
            <w:tcBorders>
              <w:top w:val="nil"/>
              <w:bottom w:val="nil"/>
              <w:right w:val="single" w:sz="4" w:space="0" w:color="auto"/>
            </w:tcBorders>
            <w:shd w:val="clear" w:color="auto" w:fill="FABF8F" w:themeFill="accent6" w:themeFillTint="99"/>
            <w:noWrap/>
            <w:vAlign w:val="center"/>
          </w:tcPr>
          <w:p w:rsidR="00CB7AF0" w:rsidRPr="00CB7AF0" w:rsidRDefault="00CB7AF0" w:rsidP="00CB7AF0">
            <w:pPr>
              <w:spacing w:after="0"/>
              <w:jc w:val="center"/>
              <w:rPr>
                <w:rFonts w:cs="Arial"/>
                <w:b/>
                <w:bCs/>
              </w:rPr>
            </w:pPr>
            <w:r w:rsidRPr="00CB7AF0">
              <w:rPr>
                <w:rFonts w:cs="Arial"/>
                <w:b/>
                <w:bCs/>
              </w:rPr>
              <w:t>1,1</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préélémentaire et primaire</w:t>
            </w:r>
          </w:p>
        </w:tc>
        <w:tc>
          <w:tcPr>
            <w:tcW w:w="1070" w:type="dxa"/>
            <w:tcBorders>
              <w:top w:val="nil"/>
            </w:tcBorders>
            <w:vAlign w:val="center"/>
          </w:tcPr>
          <w:p w:rsidR="00CB7AF0" w:rsidRPr="008B1BFB" w:rsidRDefault="00CB7AF0" w:rsidP="00CB7AF0">
            <w:pPr>
              <w:spacing w:after="0" w:line="360" w:lineRule="auto"/>
              <w:jc w:val="center"/>
              <w:rPr>
                <w:rFonts w:cs="Arial"/>
              </w:rPr>
            </w:pPr>
            <w:r w:rsidRPr="008B1BFB">
              <w:rPr>
                <w:rFonts w:cs="Arial"/>
              </w:rPr>
              <w:t>108,2</w:t>
            </w:r>
          </w:p>
        </w:tc>
        <w:tc>
          <w:tcPr>
            <w:tcW w:w="1070" w:type="dxa"/>
            <w:tcBorders>
              <w:top w:val="nil"/>
            </w:tcBorders>
            <w:vAlign w:val="center"/>
          </w:tcPr>
          <w:p w:rsidR="00CB7AF0" w:rsidRPr="00924DE8" w:rsidRDefault="00CB7AF0" w:rsidP="00CB7AF0">
            <w:pPr>
              <w:spacing w:after="0" w:line="360" w:lineRule="auto"/>
              <w:jc w:val="center"/>
              <w:rPr>
                <w:rFonts w:cs="Arial"/>
              </w:rPr>
            </w:pPr>
            <w:r w:rsidRPr="00924DE8">
              <w:rPr>
                <w:rFonts w:cs="Arial"/>
              </w:rPr>
              <w:t>111,0</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113,7</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2,4</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préélémentaire et primaire</w:t>
            </w:r>
          </w:p>
        </w:tc>
        <w:tc>
          <w:tcPr>
            <w:tcW w:w="1070" w:type="dxa"/>
            <w:tcBorders>
              <w:top w:val="nil"/>
            </w:tcBorders>
            <w:vAlign w:val="center"/>
          </w:tcPr>
          <w:p w:rsidR="00CB7AF0" w:rsidRPr="008B1BFB" w:rsidRDefault="00CB7AF0" w:rsidP="00CB7AF0">
            <w:pPr>
              <w:spacing w:after="0" w:line="360" w:lineRule="auto"/>
              <w:jc w:val="center"/>
              <w:rPr>
                <w:rFonts w:cs="Arial"/>
              </w:rPr>
            </w:pPr>
            <w:r w:rsidRPr="008B1BFB">
              <w:rPr>
                <w:rFonts w:cs="Arial"/>
              </w:rPr>
              <w:t>108,2</w:t>
            </w:r>
          </w:p>
        </w:tc>
        <w:tc>
          <w:tcPr>
            <w:tcW w:w="1070" w:type="dxa"/>
            <w:tcBorders>
              <w:top w:val="nil"/>
            </w:tcBorders>
            <w:vAlign w:val="center"/>
          </w:tcPr>
          <w:p w:rsidR="00CB7AF0" w:rsidRPr="00924DE8" w:rsidRDefault="00CB7AF0" w:rsidP="00CB7AF0">
            <w:pPr>
              <w:spacing w:after="0" w:line="360" w:lineRule="auto"/>
              <w:jc w:val="center"/>
              <w:rPr>
                <w:rFonts w:cs="Arial"/>
              </w:rPr>
            </w:pPr>
            <w:r w:rsidRPr="00924DE8">
              <w:rPr>
                <w:rFonts w:cs="Arial"/>
              </w:rPr>
              <w:t>111,0</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113,7</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2,4</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secondaire</w:t>
            </w:r>
          </w:p>
        </w:tc>
        <w:tc>
          <w:tcPr>
            <w:tcW w:w="1070" w:type="dxa"/>
            <w:tcBorders>
              <w:top w:val="nil"/>
            </w:tcBorders>
            <w:vAlign w:val="center"/>
          </w:tcPr>
          <w:p w:rsidR="00CB7AF0" w:rsidRPr="008B1BFB" w:rsidRDefault="00CB7AF0" w:rsidP="00CB7AF0">
            <w:pPr>
              <w:spacing w:after="0" w:line="360" w:lineRule="auto"/>
              <w:jc w:val="center"/>
              <w:rPr>
                <w:rFonts w:cs="Arial"/>
              </w:rPr>
            </w:pPr>
            <w:r w:rsidRPr="008B1BFB">
              <w:rPr>
                <w:rFonts w:cs="Arial"/>
              </w:rPr>
              <w:t>105,4</w:t>
            </w:r>
          </w:p>
        </w:tc>
        <w:tc>
          <w:tcPr>
            <w:tcW w:w="1070" w:type="dxa"/>
            <w:tcBorders>
              <w:top w:val="nil"/>
            </w:tcBorders>
            <w:vAlign w:val="center"/>
          </w:tcPr>
          <w:p w:rsidR="00CB7AF0" w:rsidRPr="00924DE8" w:rsidRDefault="00CB7AF0" w:rsidP="00CB7AF0">
            <w:pPr>
              <w:spacing w:after="0" w:line="360" w:lineRule="auto"/>
              <w:jc w:val="center"/>
              <w:rPr>
                <w:rFonts w:cs="Arial"/>
              </w:rPr>
            </w:pPr>
            <w:r w:rsidRPr="00924DE8">
              <w:rPr>
                <w:rFonts w:cs="Arial"/>
              </w:rPr>
              <w:t>106,5</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107,1</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0,6</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secondaire</w:t>
            </w:r>
          </w:p>
        </w:tc>
        <w:tc>
          <w:tcPr>
            <w:tcW w:w="1070" w:type="dxa"/>
            <w:tcBorders>
              <w:top w:val="nil"/>
            </w:tcBorders>
            <w:vAlign w:val="center"/>
          </w:tcPr>
          <w:p w:rsidR="00CB7AF0" w:rsidRPr="008B1BFB" w:rsidRDefault="00CB7AF0" w:rsidP="00CB7AF0">
            <w:pPr>
              <w:spacing w:after="0" w:line="360" w:lineRule="auto"/>
              <w:jc w:val="center"/>
              <w:rPr>
                <w:rFonts w:cs="Arial"/>
              </w:rPr>
            </w:pPr>
            <w:r w:rsidRPr="008B1BFB">
              <w:rPr>
                <w:rFonts w:cs="Arial"/>
              </w:rPr>
              <w:t>105,4</w:t>
            </w:r>
          </w:p>
        </w:tc>
        <w:tc>
          <w:tcPr>
            <w:tcW w:w="1070" w:type="dxa"/>
            <w:tcBorders>
              <w:top w:val="nil"/>
            </w:tcBorders>
            <w:vAlign w:val="center"/>
          </w:tcPr>
          <w:p w:rsidR="00CB7AF0" w:rsidRPr="00924DE8" w:rsidRDefault="00CB7AF0" w:rsidP="00CB7AF0">
            <w:pPr>
              <w:spacing w:after="0" w:line="360" w:lineRule="auto"/>
              <w:jc w:val="center"/>
              <w:rPr>
                <w:rFonts w:cs="Arial"/>
              </w:rPr>
            </w:pPr>
            <w:r w:rsidRPr="00924DE8">
              <w:rPr>
                <w:rFonts w:cs="Arial"/>
              </w:rPr>
              <w:t>106,5</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107,1</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0,6</w:t>
            </w:r>
          </w:p>
        </w:tc>
      </w:tr>
      <w:tr w:rsidR="00CB7AF0" w:rsidRPr="009C573C" w:rsidTr="000E06B1">
        <w:trPr>
          <w:trHeight w:val="20"/>
        </w:trPr>
        <w:tc>
          <w:tcPr>
            <w:tcW w:w="6303" w:type="dxa"/>
            <w:tcBorders>
              <w:top w:val="nil"/>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postsecondaire non supérieur</w:t>
            </w:r>
          </w:p>
        </w:tc>
        <w:tc>
          <w:tcPr>
            <w:tcW w:w="1070" w:type="dxa"/>
            <w:tcBorders>
              <w:top w:val="nil"/>
            </w:tcBorders>
            <w:vAlign w:val="center"/>
          </w:tcPr>
          <w:p w:rsidR="00CB7AF0" w:rsidRPr="002076EF" w:rsidRDefault="00CB7AF0" w:rsidP="00CB7AF0">
            <w:pPr>
              <w:spacing w:after="0" w:line="360" w:lineRule="auto"/>
              <w:jc w:val="center"/>
              <w:rPr>
                <w:rFonts w:cs="Arial"/>
              </w:rPr>
            </w:pPr>
            <w:r w:rsidRPr="002076EF">
              <w:rPr>
                <w:rFonts w:cs="Arial"/>
              </w:rPr>
              <w:t>111,5</w:t>
            </w:r>
          </w:p>
        </w:tc>
        <w:tc>
          <w:tcPr>
            <w:tcW w:w="1070" w:type="dxa"/>
            <w:tcBorders>
              <w:top w:val="nil"/>
            </w:tcBorders>
            <w:vAlign w:val="center"/>
          </w:tcPr>
          <w:p w:rsidR="00CB7AF0" w:rsidRPr="00924DE8" w:rsidRDefault="00CB7AF0" w:rsidP="00CB7AF0">
            <w:pPr>
              <w:spacing w:after="0" w:line="360" w:lineRule="auto"/>
              <w:jc w:val="center"/>
              <w:rPr>
                <w:rFonts w:cs="Arial"/>
              </w:rPr>
            </w:pPr>
            <w:r w:rsidRPr="00924DE8">
              <w:rPr>
                <w:rFonts w:cs="Arial"/>
              </w:rPr>
              <w:t>111,5</w:t>
            </w:r>
          </w:p>
        </w:tc>
        <w:tc>
          <w:tcPr>
            <w:tcW w:w="1134" w:type="dxa"/>
            <w:tcBorders>
              <w:top w:val="nil"/>
            </w:tcBorders>
            <w:shd w:val="clear" w:color="auto" w:fill="auto"/>
            <w:noWrap/>
            <w:vAlign w:val="center"/>
          </w:tcPr>
          <w:p w:rsidR="00CB7AF0" w:rsidRPr="00CB7AF0" w:rsidRDefault="00CB7AF0" w:rsidP="00CB7AF0">
            <w:pPr>
              <w:spacing w:after="0"/>
              <w:jc w:val="center"/>
              <w:rPr>
                <w:rFonts w:cs="Arial"/>
              </w:rPr>
            </w:pPr>
            <w:r w:rsidRPr="00CB7AF0">
              <w:rPr>
                <w:rFonts w:cs="Arial"/>
              </w:rPr>
              <w:t>111,5</w:t>
            </w:r>
          </w:p>
        </w:tc>
        <w:tc>
          <w:tcPr>
            <w:tcW w:w="1547" w:type="dxa"/>
            <w:tcBorders>
              <w:top w:val="nil"/>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postsecondaire non supérieur</w:t>
            </w:r>
          </w:p>
        </w:tc>
        <w:tc>
          <w:tcPr>
            <w:tcW w:w="1070" w:type="dxa"/>
            <w:vAlign w:val="center"/>
          </w:tcPr>
          <w:p w:rsidR="00CB7AF0" w:rsidRPr="0036657B" w:rsidRDefault="00CB7AF0" w:rsidP="00CB7AF0">
            <w:pPr>
              <w:spacing w:after="0" w:line="360" w:lineRule="auto"/>
              <w:jc w:val="center"/>
              <w:rPr>
                <w:rFonts w:cs="Arial"/>
              </w:rPr>
            </w:pPr>
            <w:r w:rsidRPr="0036657B">
              <w:rPr>
                <w:rFonts w:cs="Arial"/>
              </w:rPr>
              <w:t>111,5</w:t>
            </w:r>
          </w:p>
        </w:tc>
        <w:tc>
          <w:tcPr>
            <w:tcW w:w="1070" w:type="dxa"/>
            <w:vAlign w:val="center"/>
          </w:tcPr>
          <w:p w:rsidR="00CB7AF0" w:rsidRPr="00924DE8" w:rsidRDefault="00CB7AF0" w:rsidP="00CB7AF0">
            <w:pPr>
              <w:spacing w:after="0" w:line="360" w:lineRule="auto"/>
              <w:jc w:val="center"/>
              <w:rPr>
                <w:rFonts w:cs="Arial"/>
              </w:rPr>
            </w:pPr>
            <w:r w:rsidRPr="00924DE8">
              <w:rPr>
                <w:rFonts w:cs="Arial"/>
              </w:rPr>
              <w:t>111,5</w:t>
            </w:r>
          </w:p>
        </w:tc>
        <w:tc>
          <w:tcPr>
            <w:tcW w:w="1134" w:type="dxa"/>
            <w:shd w:val="clear" w:color="auto" w:fill="auto"/>
            <w:noWrap/>
            <w:vAlign w:val="center"/>
          </w:tcPr>
          <w:p w:rsidR="00CB7AF0" w:rsidRPr="00CB7AF0" w:rsidRDefault="00CB7AF0" w:rsidP="00CB7AF0">
            <w:pPr>
              <w:spacing w:after="0"/>
              <w:jc w:val="center"/>
              <w:rPr>
                <w:rFonts w:cs="Arial"/>
              </w:rPr>
            </w:pPr>
            <w:r w:rsidRPr="00CB7AF0">
              <w:rPr>
                <w:rFonts w:cs="Arial"/>
              </w:rPr>
              <w:t>111,5</w:t>
            </w:r>
          </w:p>
        </w:tc>
        <w:tc>
          <w:tcPr>
            <w:tcW w:w="1547" w:type="dxa"/>
            <w:tcBorders>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supérieur</w:t>
            </w:r>
          </w:p>
        </w:tc>
        <w:tc>
          <w:tcPr>
            <w:tcW w:w="1070" w:type="dxa"/>
            <w:vAlign w:val="center"/>
          </w:tcPr>
          <w:p w:rsidR="00CB7AF0" w:rsidRPr="0036657B" w:rsidRDefault="00CB7AF0" w:rsidP="00CB7AF0">
            <w:pPr>
              <w:spacing w:after="0" w:line="360" w:lineRule="auto"/>
              <w:jc w:val="center"/>
              <w:rPr>
                <w:rFonts w:cs="Arial"/>
              </w:rPr>
            </w:pPr>
            <w:r w:rsidRPr="0036657B">
              <w:rPr>
                <w:rFonts w:cs="Arial"/>
              </w:rPr>
              <w:t>101,4</w:t>
            </w:r>
          </w:p>
        </w:tc>
        <w:tc>
          <w:tcPr>
            <w:tcW w:w="1070" w:type="dxa"/>
            <w:vAlign w:val="center"/>
          </w:tcPr>
          <w:p w:rsidR="00CB7AF0" w:rsidRPr="00924DE8" w:rsidRDefault="00CB7AF0" w:rsidP="00CB7AF0">
            <w:pPr>
              <w:spacing w:after="0" w:line="360" w:lineRule="auto"/>
              <w:jc w:val="center"/>
              <w:rPr>
                <w:rFonts w:cs="Arial"/>
              </w:rPr>
            </w:pPr>
            <w:r w:rsidRPr="00924DE8">
              <w:rPr>
                <w:rFonts w:cs="Arial"/>
              </w:rPr>
              <w:t>101,4</w:t>
            </w:r>
          </w:p>
        </w:tc>
        <w:tc>
          <w:tcPr>
            <w:tcW w:w="1134" w:type="dxa"/>
            <w:shd w:val="clear" w:color="auto" w:fill="auto"/>
            <w:noWrap/>
            <w:vAlign w:val="center"/>
          </w:tcPr>
          <w:p w:rsidR="00CB7AF0" w:rsidRPr="00CB7AF0" w:rsidRDefault="00CB7AF0" w:rsidP="00CB7AF0">
            <w:pPr>
              <w:spacing w:after="0"/>
              <w:jc w:val="center"/>
              <w:rPr>
                <w:rFonts w:cs="Arial"/>
              </w:rPr>
            </w:pPr>
            <w:r w:rsidRPr="00CB7AF0">
              <w:rPr>
                <w:rFonts w:cs="Arial"/>
              </w:rPr>
              <w:t>101,4</w:t>
            </w:r>
          </w:p>
        </w:tc>
        <w:tc>
          <w:tcPr>
            <w:tcW w:w="1547" w:type="dxa"/>
            <w:tcBorders>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supérieur</w:t>
            </w:r>
          </w:p>
        </w:tc>
        <w:tc>
          <w:tcPr>
            <w:tcW w:w="1070" w:type="dxa"/>
            <w:vAlign w:val="center"/>
          </w:tcPr>
          <w:p w:rsidR="00CB7AF0" w:rsidRPr="0036657B" w:rsidRDefault="00CB7AF0" w:rsidP="00CB7AF0">
            <w:pPr>
              <w:spacing w:after="0" w:line="360" w:lineRule="auto"/>
              <w:jc w:val="center"/>
              <w:rPr>
                <w:rFonts w:cs="Arial"/>
              </w:rPr>
            </w:pPr>
            <w:r w:rsidRPr="0036657B">
              <w:rPr>
                <w:rFonts w:cs="Arial"/>
              </w:rPr>
              <w:t>101,4</w:t>
            </w:r>
          </w:p>
        </w:tc>
        <w:tc>
          <w:tcPr>
            <w:tcW w:w="1070" w:type="dxa"/>
            <w:vAlign w:val="center"/>
          </w:tcPr>
          <w:p w:rsidR="00CB7AF0" w:rsidRPr="00924DE8" w:rsidRDefault="00CB7AF0" w:rsidP="00CB7AF0">
            <w:pPr>
              <w:spacing w:after="0" w:line="360" w:lineRule="auto"/>
              <w:jc w:val="center"/>
              <w:rPr>
                <w:rFonts w:cs="Arial"/>
              </w:rPr>
            </w:pPr>
            <w:r w:rsidRPr="00924DE8">
              <w:rPr>
                <w:rFonts w:cs="Arial"/>
              </w:rPr>
              <w:t>101,4</w:t>
            </w:r>
          </w:p>
        </w:tc>
        <w:tc>
          <w:tcPr>
            <w:tcW w:w="1134" w:type="dxa"/>
            <w:shd w:val="clear" w:color="auto" w:fill="auto"/>
            <w:noWrap/>
            <w:vAlign w:val="center"/>
          </w:tcPr>
          <w:p w:rsidR="00CB7AF0" w:rsidRPr="00CB7AF0" w:rsidRDefault="00CB7AF0" w:rsidP="00CB7AF0">
            <w:pPr>
              <w:spacing w:after="0"/>
              <w:jc w:val="center"/>
              <w:rPr>
                <w:rFonts w:cs="Arial"/>
              </w:rPr>
            </w:pPr>
            <w:r w:rsidRPr="00CB7AF0">
              <w:rPr>
                <w:rFonts w:cs="Arial"/>
              </w:rPr>
              <w:t>101,4</w:t>
            </w:r>
          </w:p>
        </w:tc>
        <w:tc>
          <w:tcPr>
            <w:tcW w:w="1547" w:type="dxa"/>
            <w:tcBorders>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non défini par niveau</w:t>
            </w:r>
          </w:p>
        </w:tc>
        <w:tc>
          <w:tcPr>
            <w:tcW w:w="1070" w:type="dxa"/>
            <w:vAlign w:val="center"/>
          </w:tcPr>
          <w:p w:rsidR="00CB7AF0" w:rsidRPr="0036657B" w:rsidRDefault="00CB7AF0" w:rsidP="00CB7AF0">
            <w:pPr>
              <w:spacing w:after="0" w:line="360" w:lineRule="auto"/>
              <w:jc w:val="center"/>
              <w:rPr>
                <w:rFonts w:cs="Arial"/>
              </w:rPr>
            </w:pPr>
            <w:r w:rsidRPr="0036657B">
              <w:rPr>
                <w:rFonts w:cs="Arial"/>
              </w:rPr>
              <w:t>100,0</w:t>
            </w:r>
          </w:p>
        </w:tc>
        <w:tc>
          <w:tcPr>
            <w:tcW w:w="1070" w:type="dxa"/>
            <w:vAlign w:val="center"/>
          </w:tcPr>
          <w:p w:rsidR="00CB7AF0" w:rsidRPr="00924DE8" w:rsidRDefault="00CB7AF0" w:rsidP="00CB7AF0">
            <w:pPr>
              <w:spacing w:after="0" w:line="360" w:lineRule="auto"/>
              <w:jc w:val="center"/>
              <w:rPr>
                <w:rFonts w:cs="Arial"/>
              </w:rPr>
            </w:pPr>
            <w:r w:rsidRPr="00924DE8">
              <w:rPr>
                <w:rFonts w:cs="Arial"/>
              </w:rPr>
              <w:t>100,0</w:t>
            </w:r>
          </w:p>
        </w:tc>
        <w:tc>
          <w:tcPr>
            <w:tcW w:w="1134" w:type="dxa"/>
            <w:shd w:val="clear" w:color="auto" w:fill="auto"/>
            <w:noWrap/>
            <w:vAlign w:val="center"/>
          </w:tcPr>
          <w:p w:rsidR="00CB7AF0" w:rsidRPr="00CB7AF0" w:rsidRDefault="00CB7AF0" w:rsidP="00CB7AF0">
            <w:pPr>
              <w:spacing w:after="0"/>
              <w:jc w:val="center"/>
              <w:rPr>
                <w:rFonts w:cs="Arial"/>
              </w:rPr>
            </w:pPr>
            <w:r w:rsidRPr="00CB7AF0">
              <w:rPr>
                <w:rFonts w:cs="Arial"/>
              </w:rPr>
              <w:t>100,0</w:t>
            </w:r>
          </w:p>
        </w:tc>
        <w:tc>
          <w:tcPr>
            <w:tcW w:w="1547" w:type="dxa"/>
            <w:tcBorders>
              <w:right w:val="single" w:sz="4" w:space="0" w:color="auto"/>
            </w:tcBorders>
            <w:shd w:val="clear" w:color="auto" w:fill="auto"/>
            <w:noWrap/>
            <w:vAlign w:val="center"/>
          </w:tcPr>
          <w:p w:rsidR="00CB7AF0" w:rsidRPr="00CB7AF0" w:rsidRDefault="00CB7AF0" w:rsidP="00CB7AF0">
            <w:pPr>
              <w:spacing w:after="0"/>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Enseignement non défini par niveau</w:t>
            </w:r>
          </w:p>
        </w:tc>
        <w:tc>
          <w:tcPr>
            <w:tcW w:w="1070" w:type="dxa"/>
            <w:vAlign w:val="center"/>
          </w:tcPr>
          <w:p w:rsidR="00CB7AF0" w:rsidRPr="0036657B" w:rsidRDefault="00CB7AF0" w:rsidP="00CB7AF0">
            <w:pPr>
              <w:spacing w:after="0" w:line="360" w:lineRule="auto"/>
              <w:jc w:val="center"/>
              <w:rPr>
                <w:rFonts w:cs="Arial"/>
              </w:rPr>
            </w:pPr>
            <w:r w:rsidRPr="0036657B">
              <w:rPr>
                <w:rFonts w:cs="Arial"/>
              </w:rPr>
              <w:t>100,0</w:t>
            </w:r>
          </w:p>
        </w:tc>
        <w:tc>
          <w:tcPr>
            <w:tcW w:w="1070" w:type="dxa"/>
            <w:vAlign w:val="center"/>
          </w:tcPr>
          <w:p w:rsidR="00CB7AF0" w:rsidRPr="00924DE8" w:rsidRDefault="00CB7AF0" w:rsidP="00CB7AF0">
            <w:pPr>
              <w:spacing w:after="0" w:line="360" w:lineRule="auto"/>
              <w:jc w:val="center"/>
              <w:rPr>
                <w:rFonts w:cs="Arial"/>
              </w:rPr>
            </w:pPr>
            <w:r w:rsidRPr="00924DE8">
              <w:rPr>
                <w:rFonts w:cs="Arial"/>
              </w:rPr>
              <w:t>100,0</w:t>
            </w:r>
          </w:p>
        </w:tc>
        <w:tc>
          <w:tcPr>
            <w:tcW w:w="1134" w:type="dxa"/>
            <w:shd w:val="clear" w:color="auto" w:fill="auto"/>
            <w:noWrap/>
            <w:vAlign w:val="center"/>
          </w:tcPr>
          <w:p w:rsidR="00CB7AF0" w:rsidRPr="00CB7AF0" w:rsidRDefault="00CB7AF0" w:rsidP="00CB7AF0">
            <w:pPr>
              <w:spacing w:after="0" w:line="360" w:lineRule="auto"/>
              <w:jc w:val="center"/>
              <w:rPr>
                <w:rFonts w:cs="Arial"/>
              </w:rPr>
            </w:pPr>
            <w:r w:rsidRPr="00CB7AF0">
              <w:rPr>
                <w:rFonts w:cs="Arial"/>
              </w:rPr>
              <w:t>100,0</w:t>
            </w:r>
          </w:p>
        </w:tc>
        <w:tc>
          <w:tcPr>
            <w:tcW w:w="1547" w:type="dxa"/>
            <w:tcBorders>
              <w:right w:val="single" w:sz="4" w:space="0" w:color="auto"/>
            </w:tcBorders>
            <w:shd w:val="clear" w:color="auto" w:fill="auto"/>
            <w:noWrap/>
            <w:vAlign w:val="center"/>
          </w:tcPr>
          <w:p w:rsidR="00CB7AF0" w:rsidRPr="00CB7AF0" w:rsidRDefault="00CB7AF0" w:rsidP="00CB7AF0">
            <w:pPr>
              <w:spacing w:after="0" w:line="360" w:lineRule="auto"/>
              <w:jc w:val="center"/>
              <w:rPr>
                <w:rFonts w:cs="Arial"/>
              </w:rPr>
            </w:pPr>
            <w:r w:rsidRPr="00CB7AF0">
              <w:rPr>
                <w:rFonts w:cs="Arial"/>
              </w:rPr>
              <w:t>0,0</w:t>
            </w:r>
          </w:p>
        </w:tc>
      </w:tr>
      <w:tr w:rsidR="00CB7AF0" w:rsidRPr="009C573C" w:rsidTr="000E06B1">
        <w:trPr>
          <w:trHeight w:val="20"/>
        </w:trPr>
        <w:tc>
          <w:tcPr>
            <w:tcW w:w="6303" w:type="dxa"/>
            <w:tcBorders>
              <w:left w:val="single" w:sz="4" w:space="0" w:color="auto"/>
            </w:tcBorders>
            <w:shd w:val="clear" w:color="auto" w:fill="FABF8F" w:themeFill="accent6" w:themeFillTint="99"/>
            <w:vAlign w:val="center"/>
          </w:tcPr>
          <w:p w:rsidR="00CB7AF0" w:rsidRPr="00825FF4" w:rsidRDefault="00CB7AF0" w:rsidP="00CB7AF0">
            <w:pPr>
              <w:spacing w:after="0"/>
              <w:rPr>
                <w:rFonts w:cs="Arial"/>
                <w:b/>
                <w:bCs/>
              </w:rPr>
            </w:pPr>
            <w:r>
              <w:rPr>
                <w:rFonts w:cs="Arial"/>
                <w:b/>
                <w:bCs/>
              </w:rPr>
              <w:t>11-</w:t>
            </w:r>
            <w:r w:rsidRPr="00825FF4">
              <w:rPr>
                <w:rFonts w:cs="Arial"/>
                <w:b/>
                <w:bCs/>
              </w:rPr>
              <w:t>RESTAURANTS ET HOTELS</w:t>
            </w:r>
          </w:p>
        </w:tc>
        <w:tc>
          <w:tcPr>
            <w:tcW w:w="1070" w:type="dxa"/>
            <w:shd w:val="clear" w:color="auto" w:fill="FABF8F" w:themeFill="accent6" w:themeFillTint="99"/>
            <w:vAlign w:val="center"/>
          </w:tcPr>
          <w:p w:rsidR="00CB7AF0" w:rsidRPr="0036657B" w:rsidRDefault="00CB7AF0" w:rsidP="00CB7AF0">
            <w:pPr>
              <w:spacing w:after="0"/>
              <w:jc w:val="center"/>
              <w:rPr>
                <w:rFonts w:cs="Arial"/>
                <w:b/>
                <w:bCs/>
              </w:rPr>
            </w:pPr>
            <w:r w:rsidRPr="0036657B">
              <w:rPr>
                <w:rFonts w:cs="Arial"/>
                <w:b/>
                <w:bCs/>
              </w:rPr>
              <w:t>101,0</w:t>
            </w:r>
          </w:p>
        </w:tc>
        <w:tc>
          <w:tcPr>
            <w:tcW w:w="1070" w:type="dxa"/>
            <w:shd w:val="clear" w:color="auto" w:fill="FABF8F" w:themeFill="accent6" w:themeFillTint="99"/>
            <w:vAlign w:val="center"/>
          </w:tcPr>
          <w:p w:rsidR="00CB7AF0" w:rsidRPr="00924DE8" w:rsidRDefault="00CB7AF0" w:rsidP="00CB7AF0">
            <w:pPr>
              <w:spacing w:after="0"/>
              <w:jc w:val="center"/>
              <w:rPr>
                <w:rFonts w:cs="Arial"/>
                <w:b/>
                <w:bCs/>
              </w:rPr>
            </w:pPr>
            <w:r w:rsidRPr="00924DE8">
              <w:rPr>
                <w:rFonts w:cs="Arial"/>
                <w:b/>
                <w:bCs/>
              </w:rPr>
              <w:t>101,5</w:t>
            </w:r>
          </w:p>
        </w:tc>
        <w:tc>
          <w:tcPr>
            <w:tcW w:w="1134" w:type="dxa"/>
            <w:shd w:val="clear" w:color="auto" w:fill="FABF8F" w:themeFill="accent6" w:themeFillTint="99"/>
            <w:noWrap/>
            <w:vAlign w:val="center"/>
          </w:tcPr>
          <w:p w:rsidR="00CB7AF0" w:rsidRPr="00CB7AF0" w:rsidRDefault="00CB7AF0" w:rsidP="00CB7AF0">
            <w:pPr>
              <w:spacing w:after="0"/>
              <w:jc w:val="center"/>
              <w:rPr>
                <w:rFonts w:cs="Arial"/>
                <w:b/>
                <w:bCs/>
              </w:rPr>
            </w:pPr>
            <w:r w:rsidRPr="00CB7AF0">
              <w:rPr>
                <w:rFonts w:cs="Arial"/>
                <w:b/>
                <w:bCs/>
              </w:rPr>
              <w:t>108,2</w:t>
            </w:r>
          </w:p>
        </w:tc>
        <w:tc>
          <w:tcPr>
            <w:tcW w:w="1547" w:type="dxa"/>
            <w:tcBorders>
              <w:right w:val="single" w:sz="4" w:space="0" w:color="auto"/>
            </w:tcBorders>
            <w:shd w:val="clear" w:color="auto" w:fill="FABF8F" w:themeFill="accent6" w:themeFillTint="99"/>
            <w:noWrap/>
            <w:vAlign w:val="center"/>
          </w:tcPr>
          <w:p w:rsidR="00CB7AF0" w:rsidRPr="00CB7AF0" w:rsidRDefault="00CB7AF0" w:rsidP="00CB7AF0">
            <w:pPr>
              <w:spacing w:after="0"/>
              <w:jc w:val="center"/>
              <w:rPr>
                <w:rFonts w:cs="Arial"/>
                <w:b/>
                <w:bCs/>
              </w:rPr>
            </w:pPr>
            <w:r w:rsidRPr="00CB7AF0">
              <w:rPr>
                <w:rFonts w:cs="Arial"/>
                <w:b/>
                <w:bCs/>
              </w:rPr>
              <w:t>6,6</w:t>
            </w:r>
          </w:p>
        </w:tc>
      </w:tr>
      <w:tr w:rsidR="00CB7AF0" w:rsidRPr="009C573C" w:rsidTr="000E06B1">
        <w:trPr>
          <w:trHeight w:val="20"/>
        </w:trPr>
        <w:tc>
          <w:tcPr>
            <w:tcW w:w="6303" w:type="dxa"/>
            <w:tcBorders>
              <w:left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Services de restauration</w:t>
            </w:r>
          </w:p>
        </w:tc>
        <w:tc>
          <w:tcPr>
            <w:tcW w:w="1070" w:type="dxa"/>
            <w:vAlign w:val="center"/>
          </w:tcPr>
          <w:p w:rsidR="00CB7AF0" w:rsidRPr="0036657B" w:rsidRDefault="00CB7AF0" w:rsidP="00CB7AF0">
            <w:pPr>
              <w:spacing w:after="0" w:line="360" w:lineRule="auto"/>
              <w:jc w:val="center"/>
              <w:rPr>
                <w:rFonts w:cs="Arial"/>
              </w:rPr>
            </w:pPr>
            <w:r w:rsidRPr="0036657B">
              <w:rPr>
                <w:rFonts w:cs="Arial"/>
              </w:rPr>
              <w:t>101,4</w:t>
            </w:r>
          </w:p>
        </w:tc>
        <w:tc>
          <w:tcPr>
            <w:tcW w:w="1070" w:type="dxa"/>
            <w:vAlign w:val="center"/>
          </w:tcPr>
          <w:p w:rsidR="00CB7AF0" w:rsidRPr="00924DE8" w:rsidRDefault="00CB7AF0" w:rsidP="00CB7AF0">
            <w:pPr>
              <w:spacing w:after="0" w:line="360" w:lineRule="auto"/>
              <w:jc w:val="center"/>
              <w:rPr>
                <w:rFonts w:cs="Arial"/>
              </w:rPr>
            </w:pPr>
            <w:r w:rsidRPr="00924DE8">
              <w:rPr>
                <w:rFonts w:cs="Arial"/>
              </w:rPr>
              <w:t>102,1</w:t>
            </w:r>
          </w:p>
        </w:tc>
        <w:tc>
          <w:tcPr>
            <w:tcW w:w="1134" w:type="dxa"/>
            <w:shd w:val="clear" w:color="auto" w:fill="auto"/>
            <w:noWrap/>
            <w:vAlign w:val="center"/>
          </w:tcPr>
          <w:p w:rsidR="00CB7AF0" w:rsidRPr="00CB7AF0" w:rsidRDefault="00CB7AF0" w:rsidP="00CB7AF0">
            <w:pPr>
              <w:spacing w:after="0" w:line="360" w:lineRule="auto"/>
              <w:jc w:val="center"/>
              <w:rPr>
                <w:rFonts w:cs="Arial"/>
              </w:rPr>
            </w:pPr>
            <w:r w:rsidRPr="00CB7AF0">
              <w:rPr>
                <w:rFonts w:cs="Arial"/>
              </w:rPr>
              <w:t>109,8</w:t>
            </w:r>
          </w:p>
        </w:tc>
        <w:tc>
          <w:tcPr>
            <w:tcW w:w="1547" w:type="dxa"/>
            <w:tcBorders>
              <w:right w:val="single" w:sz="4" w:space="0" w:color="auto"/>
            </w:tcBorders>
            <w:shd w:val="clear" w:color="auto" w:fill="auto"/>
            <w:noWrap/>
            <w:vAlign w:val="center"/>
          </w:tcPr>
          <w:p w:rsidR="00CB7AF0" w:rsidRPr="00CB7AF0" w:rsidRDefault="00CB7AF0" w:rsidP="00CB7AF0">
            <w:pPr>
              <w:spacing w:after="0" w:line="360" w:lineRule="auto"/>
              <w:jc w:val="center"/>
              <w:rPr>
                <w:rFonts w:cs="Arial"/>
              </w:rPr>
            </w:pPr>
            <w:r w:rsidRPr="00CB7AF0">
              <w:rPr>
                <w:rFonts w:cs="Arial"/>
              </w:rPr>
              <w:t>7,5</w:t>
            </w:r>
          </w:p>
        </w:tc>
      </w:tr>
      <w:tr w:rsidR="00CB7AF0" w:rsidRPr="009C573C" w:rsidTr="000E06B1">
        <w:trPr>
          <w:trHeight w:val="20"/>
        </w:trPr>
        <w:tc>
          <w:tcPr>
            <w:tcW w:w="6303" w:type="dxa"/>
            <w:tcBorders>
              <w:left w:val="single" w:sz="4" w:space="0" w:color="auto"/>
              <w:bottom w:val="single" w:sz="4" w:space="0" w:color="auto"/>
            </w:tcBorders>
            <w:shd w:val="clear" w:color="auto" w:fill="auto"/>
            <w:vAlign w:val="center"/>
          </w:tcPr>
          <w:p w:rsidR="00CB7AF0" w:rsidRPr="00825FF4" w:rsidRDefault="00CB7AF0" w:rsidP="00CB7AF0">
            <w:pPr>
              <w:spacing w:after="0" w:line="360" w:lineRule="auto"/>
              <w:rPr>
                <w:rFonts w:cs="Arial"/>
              </w:rPr>
            </w:pPr>
            <w:r w:rsidRPr="00825FF4">
              <w:rPr>
                <w:rFonts w:cs="Arial"/>
              </w:rPr>
              <w:t>Restaurants, cafés et établissements similaires</w:t>
            </w:r>
          </w:p>
        </w:tc>
        <w:tc>
          <w:tcPr>
            <w:tcW w:w="1070" w:type="dxa"/>
            <w:tcBorders>
              <w:bottom w:val="single" w:sz="4" w:space="0" w:color="auto"/>
            </w:tcBorders>
            <w:vAlign w:val="center"/>
          </w:tcPr>
          <w:p w:rsidR="00CB7AF0" w:rsidRPr="0036657B" w:rsidRDefault="00CB7AF0" w:rsidP="00CB7AF0">
            <w:pPr>
              <w:spacing w:after="0" w:line="360" w:lineRule="auto"/>
              <w:jc w:val="center"/>
              <w:rPr>
                <w:rFonts w:cs="Arial"/>
              </w:rPr>
            </w:pPr>
            <w:r w:rsidRPr="0036657B">
              <w:rPr>
                <w:rFonts w:cs="Arial"/>
              </w:rPr>
              <w:t>101,4</w:t>
            </w:r>
          </w:p>
        </w:tc>
        <w:tc>
          <w:tcPr>
            <w:tcW w:w="1070" w:type="dxa"/>
            <w:tcBorders>
              <w:bottom w:val="single" w:sz="4" w:space="0" w:color="auto"/>
            </w:tcBorders>
            <w:vAlign w:val="center"/>
          </w:tcPr>
          <w:p w:rsidR="00CB7AF0" w:rsidRPr="00924DE8" w:rsidRDefault="00CB7AF0" w:rsidP="00CB7AF0">
            <w:pPr>
              <w:spacing w:after="0" w:line="360" w:lineRule="auto"/>
              <w:jc w:val="center"/>
              <w:rPr>
                <w:rFonts w:cs="Arial"/>
              </w:rPr>
            </w:pPr>
            <w:r w:rsidRPr="00924DE8">
              <w:rPr>
                <w:rFonts w:cs="Arial"/>
              </w:rPr>
              <w:t>102,1</w:t>
            </w:r>
          </w:p>
        </w:tc>
        <w:tc>
          <w:tcPr>
            <w:tcW w:w="1134" w:type="dxa"/>
            <w:tcBorders>
              <w:bottom w:val="single" w:sz="4" w:space="0" w:color="auto"/>
            </w:tcBorders>
            <w:shd w:val="clear" w:color="auto" w:fill="auto"/>
            <w:noWrap/>
            <w:vAlign w:val="center"/>
          </w:tcPr>
          <w:p w:rsidR="00CB7AF0" w:rsidRPr="00CB7AF0" w:rsidRDefault="00CB7AF0" w:rsidP="00CB7AF0">
            <w:pPr>
              <w:spacing w:after="0" w:line="360" w:lineRule="auto"/>
              <w:jc w:val="center"/>
              <w:rPr>
                <w:rFonts w:cs="Arial"/>
              </w:rPr>
            </w:pPr>
            <w:r w:rsidRPr="00CB7AF0">
              <w:rPr>
                <w:rFonts w:cs="Arial"/>
              </w:rPr>
              <w:t>109,8</w:t>
            </w:r>
          </w:p>
        </w:tc>
        <w:tc>
          <w:tcPr>
            <w:tcW w:w="1547" w:type="dxa"/>
            <w:tcBorders>
              <w:bottom w:val="single" w:sz="4" w:space="0" w:color="auto"/>
              <w:right w:val="single" w:sz="4" w:space="0" w:color="auto"/>
            </w:tcBorders>
            <w:shd w:val="clear" w:color="auto" w:fill="auto"/>
            <w:noWrap/>
            <w:vAlign w:val="center"/>
          </w:tcPr>
          <w:p w:rsidR="00CB7AF0" w:rsidRPr="00CB7AF0" w:rsidRDefault="00CB7AF0" w:rsidP="00CB7AF0">
            <w:pPr>
              <w:spacing w:after="0" w:line="360" w:lineRule="auto"/>
              <w:jc w:val="center"/>
              <w:rPr>
                <w:rFonts w:cs="Arial"/>
              </w:rPr>
            </w:pPr>
            <w:r w:rsidRPr="00CB7AF0">
              <w:rPr>
                <w:rFonts w:cs="Arial"/>
              </w:rPr>
              <w:t>7,5</w:t>
            </w:r>
          </w:p>
        </w:tc>
      </w:tr>
    </w:tbl>
    <w:p w:rsidR="00186049" w:rsidRDefault="000F70D3" w:rsidP="00787334">
      <w:pPr>
        <w:tabs>
          <w:tab w:val="center" w:pos="4677"/>
          <w:tab w:val="right" w:pos="9354"/>
        </w:tabs>
        <w:spacing w:after="0"/>
        <w:ind w:right="-284"/>
        <w:jc w:val="right"/>
        <w:rPr>
          <w:b/>
          <w:bCs/>
          <w:color w:val="E36C0A" w:themeColor="accent6" w:themeShade="BF"/>
        </w:rPr>
      </w:pPr>
      <w:r>
        <w:rPr>
          <w:b/>
          <w:bCs/>
          <w:color w:val="E36C0A" w:themeColor="accent6" w:themeShade="BF"/>
        </w:rPr>
        <w:tab/>
      </w:r>
      <w:r w:rsidR="00186049" w:rsidRPr="00186049">
        <w:rPr>
          <w:b/>
          <w:bCs/>
          <w:sz w:val="16"/>
          <w:szCs w:val="16"/>
        </w:rPr>
        <w:t>Source : HCP</w:t>
      </w:r>
    </w:p>
    <w:p w:rsidR="0088445C" w:rsidRDefault="0088445C" w:rsidP="003568DA">
      <w:pPr>
        <w:tabs>
          <w:tab w:val="center" w:pos="4677"/>
          <w:tab w:val="right" w:pos="9354"/>
        </w:tabs>
        <w:spacing w:after="0"/>
        <w:jc w:val="center"/>
        <w:rPr>
          <w:b/>
          <w:bCs/>
          <w:color w:val="E36C0A" w:themeColor="accent6" w:themeShade="BF"/>
        </w:rPr>
      </w:pPr>
    </w:p>
    <w:p w:rsidR="007A049E" w:rsidRPr="00825FF4" w:rsidRDefault="007A049E" w:rsidP="003568DA">
      <w:pPr>
        <w:tabs>
          <w:tab w:val="center" w:pos="4677"/>
          <w:tab w:val="right" w:pos="9354"/>
        </w:tabs>
        <w:spacing w:after="0"/>
        <w:jc w:val="center"/>
        <w:rPr>
          <w:b/>
          <w:bCs/>
          <w:color w:val="E36C0A" w:themeColor="accent6" w:themeShade="BF"/>
        </w:rPr>
      </w:pPr>
      <w:r w:rsidRPr="00825FF4">
        <w:rPr>
          <w:b/>
          <w:bCs/>
          <w:color w:val="E36C0A" w:themeColor="accent6" w:themeShade="BF"/>
        </w:rPr>
        <w:t>Tableau 2 : Indice des prix à la consommation par division, groupe et classe</w:t>
      </w:r>
    </w:p>
    <w:p w:rsidR="007A049E" w:rsidRDefault="0060034A" w:rsidP="007A049E">
      <w:pPr>
        <w:spacing w:after="0"/>
        <w:jc w:val="center"/>
        <w:rPr>
          <w:b/>
          <w:bCs/>
          <w:color w:val="E36C0A" w:themeColor="accent6" w:themeShade="BF"/>
        </w:rPr>
      </w:pPr>
      <w:r>
        <w:rPr>
          <w:b/>
          <w:bCs/>
          <w:color w:val="E36C0A" w:themeColor="accent6" w:themeShade="BF"/>
        </w:rPr>
        <w:t xml:space="preserve">Ville de </w:t>
      </w:r>
      <w:r w:rsidR="004E1B6B">
        <w:rPr>
          <w:b/>
          <w:bCs/>
          <w:color w:val="E36C0A" w:themeColor="accent6" w:themeShade="BF"/>
        </w:rPr>
        <w:t>Rabat (</w:t>
      </w:r>
      <w:r w:rsidR="007A049E" w:rsidRPr="00825FF4">
        <w:rPr>
          <w:b/>
          <w:bCs/>
          <w:color w:val="E36C0A" w:themeColor="accent6" w:themeShade="BF"/>
        </w:rPr>
        <w:t>Suite)</w:t>
      </w:r>
    </w:p>
    <w:tbl>
      <w:tblPr>
        <w:tblW w:w="10742" w:type="dxa"/>
        <w:tblInd w:w="-781" w:type="dxa"/>
        <w:tblCellMar>
          <w:left w:w="70" w:type="dxa"/>
          <w:right w:w="70" w:type="dxa"/>
        </w:tblCellMar>
        <w:tblLook w:val="04A0"/>
      </w:tblPr>
      <w:tblGrid>
        <w:gridCol w:w="6238"/>
        <w:gridCol w:w="1080"/>
        <w:gridCol w:w="1080"/>
        <w:gridCol w:w="1080"/>
        <w:gridCol w:w="1264"/>
      </w:tblGrid>
      <w:tr w:rsidR="00386743" w:rsidRPr="00825FF4" w:rsidTr="001B3E1F">
        <w:trPr>
          <w:trHeight w:val="504"/>
        </w:trPr>
        <w:tc>
          <w:tcPr>
            <w:tcW w:w="6238" w:type="dxa"/>
            <w:tcBorders>
              <w:top w:val="single" w:sz="4" w:space="0" w:color="auto"/>
              <w:left w:val="single" w:sz="4" w:space="0" w:color="auto"/>
            </w:tcBorders>
            <w:shd w:val="clear" w:color="auto" w:fill="F79646" w:themeFill="accent6"/>
            <w:vAlign w:val="center"/>
          </w:tcPr>
          <w:p w:rsidR="00386743" w:rsidRPr="009C573C" w:rsidRDefault="00386743" w:rsidP="00386743">
            <w:pPr>
              <w:spacing w:after="0" w:line="240" w:lineRule="auto"/>
              <w:rPr>
                <w:rFonts w:cs="Arial"/>
                <w:b/>
                <w:bCs/>
              </w:rPr>
            </w:pPr>
            <w:r w:rsidRPr="009C573C">
              <w:rPr>
                <w:rFonts w:cs="Arial"/>
                <w:b/>
                <w:bCs/>
              </w:rPr>
              <w:t>DIVISIONS, GROUPES ET CLASSES</w:t>
            </w:r>
          </w:p>
        </w:tc>
        <w:tc>
          <w:tcPr>
            <w:tcW w:w="1080" w:type="dxa"/>
            <w:tcBorders>
              <w:top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2020</w:t>
            </w:r>
          </w:p>
        </w:tc>
        <w:tc>
          <w:tcPr>
            <w:tcW w:w="1080" w:type="dxa"/>
            <w:tcBorders>
              <w:top w:val="single" w:sz="4" w:space="0" w:color="auto"/>
            </w:tcBorders>
            <w:shd w:val="clear" w:color="auto" w:fill="F79646" w:themeFill="accent6"/>
            <w:vAlign w:val="center"/>
          </w:tcPr>
          <w:p w:rsidR="00386743" w:rsidRPr="009C573C" w:rsidRDefault="00386743" w:rsidP="00386743">
            <w:pPr>
              <w:spacing w:after="0" w:line="240" w:lineRule="auto"/>
              <w:jc w:val="center"/>
              <w:rPr>
                <w:rFonts w:cs="Arial"/>
                <w:b/>
                <w:bCs/>
              </w:rPr>
            </w:pPr>
            <w:r>
              <w:rPr>
                <w:rFonts w:cs="Arial"/>
                <w:b/>
                <w:bCs/>
              </w:rPr>
              <w:t>2021</w:t>
            </w:r>
          </w:p>
        </w:tc>
        <w:tc>
          <w:tcPr>
            <w:tcW w:w="1080" w:type="dxa"/>
            <w:tcBorders>
              <w:top w:val="single" w:sz="4" w:space="0" w:color="auto"/>
            </w:tcBorders>
            <w:shd w:val="clear" w:color="auto" w:fill="F79646" w:themeFill="accent6"/>
            <w:noWrap/>
            <w:vAlign w:val="center"/>
          </w:tcPr>
          <w:p w:rsidR="00386743" w:rsidRPr="009C573C" w:rsidRDefault="00386743" w:rsidP="00386743">
            <w:pPr>
              <w:spacing w:after="0" w:line="240" w:lineRule="auto"/>
              <w:jc w:val="center"/>
              <w:rPr>
                <w:rFonts w:cs="Arial"/>
                <w:b/>
                <w:bCs/>
              </w:rPr>
            </w:pPr>
            <w:r>
              <w:rPr>
                <w:rFonts w:cs="Arial"/>
                <w:b/>
                <w:bCs/>
              </w:rPr>
              <w:t>2022</w:t>
            </w:r>
          </w:p>
        </w:tc>
        <w:tc>
          <w:tcPr>
            <w:tcW w:w="1264" w:type="dxa"/>
            <w:tcBorders>
              <w:top w:val="single" w:sz="4" w:space="0" w:color="auto"/>
              <w:right w:val="single" w:sz="4" w:space="0" w:color="auto"/>
            </w:tcBorders>
            <w:shd w:val="clear" w:color="auto" w:fill="F79646" w:themeFill="accent6"/>
            <w:noWrap/>
            <w:vAlign w:val="center"/>
          </w:tcPr>
          <w:p w:rsidR="00386743" w:rsidRPr="009C573C" w:rsidRDefault="000E06B1" w:rsidP="00386743">
            <w:pPr>
              <w:spacing w:after="0" w:line="240" w:lineRule="auto"/>
              <w:jc w:val="center"/>
              <w:rPr>
                <w:rFonts w:cs="Arial"/>
                <w:b/>
                <w:bCs/>
              </w:rPr>
            </w:pPr>
            <w:r w:rsidRPr="009C573C">
              <w:rPr>
                <w:rFonts w:cs="Arial"/>
                <w:b/>
                <w:bCs/>
              </w:rPr>
              <w:t>VAR (%)</w:t>
            </w:r>
            <w:r>
              <w:rPr>
                <w:rFonts w:cs="Arial"/>
                <w:b/>
                <w:bCs/>
              </w:rPr>
              <w:t xml:space="preserve"> (2022/2021)</w:t>
            </w:r>
          </w:p>
        </w:tc>
      </w:tr>
      <w:tr w:rsidR="009328B4" w:rsidRPr="00825FF4" w:rsidTr="001B3E1F">
        <w:trPr>
          <w:trHeight w:val="442"/>
        </w:trPr>
        <w:tc>
          <w:tcPr>
            <w:tcW w:w="6238" w:type="dxa"/>
            <w:tcBorders>
              <w:top w:val="single" w:sz="4" w:space="0" w:color="auto"/>
              <w:left w:val="single" w:sz="4" w:space="0" w:color="auto"/>
            </w:tcBorders>
            <w:shd w:val="clear" w:color="auto" w:fill="auto"/>
            <w:vAlign w:val="center"/>
          </w:tcPr>
          <w:p w:rsidR="009328B4" w:rsidRPr="00825FF4" w:rsidRDefault="009328B4" w:rsidP="009328B4">
            <w:pPr>
              <w:spacing w:after="0" w:line="360" w:lineRule="auto"/>
              <w:ind w:left="-212" w:firstLine="212"/>
              <w:rPr>
                <w:rFonts w:cs="Arial"/>
              </w:rPr>
            </w:pPr>
            <w:r w:rsidRPr="00825FF4">
              <w:rPr>
                <w:rFonts w:cs="Arial"/>
              </w:rPr>
              <w:t>Cantines</w:t>
            </w:r>
          </w:p>
        </w:tc>
        <w:tc>
          <w:tcPr>
            <w:tcW w:w="1080" w:type="dxa"/>
            <w:tcBorders>
              <w:top w:val="single" w:sz="4" w:space="0" w:color="auto"/>
            </w:tcBorders>
            <w:vAlign w:val="center"/>
          </w:tcPr>
          <w:p w:rsidR="009328B4" w:rsidRPr="0036657B" w:rsidRDefault="009328B4" w:rsidP="009328B4">
            <w:pPr>
              <w:spacing w:after="0" w:line="360" w:lineRule="auto"/>
              <w:jc w:val="center"/>
              <w:rPr>
                <w:rFonts w:cs="Arial"/>
              </w:rPr>
            </w:pPr>
            <w:r w:rsidRPr="0036657B">
              <w:rPr>
                <w:rFonts w:cs="Arial"/>
              </w:rPr>
              <w:t>100,0</w:t>
            </w:r>
          </w:p>
        </w:tc>
        <w:tc>
          <w:tcPr>
            <w:tcW w:w="1080" w:type="dxa"/>
            <w:tcBorders>
              <w:top w:val="single" w:sz="4" w:space="0" w:color="auto"/>
            </w:tcBorders>
            <w:vAlign w:val="center"/>
          </w:tcPr>
          <w:p w:rsidR="009328B4" w:rsidRPr="0088445C" w:rsidRDefault="009328B4" w:rsidP="009328B4">
            <w:pPr>
              <w:spacing w:after="0" w:line="360" w:lineRule="auto"/>
              <w:jc w:val="center"/>
              <w:rPr>
                <w:rFonts w:cs="Arial"/>
              </w:rPr>
            </w:pPr>
            <w:r w:rsidRPr="0088445C">
              <w:rPr>
                <w:rFonts w:cs="Arial"/>
              </w:rPr>
              <w:t>100,0</w:t>
            </w:r>
          </w:p>
        </w:tc>
        <w:tc>
          <w:tcPr>
            <w:tcW w:w="1080" w:type="dxa"/>
            <w:tcBorders>
              <w:top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100,0</w:t>
            </w:r>
          </w:p>
        </w:tc>
        <w:tc>
          <w:tcPr>
            <w:tcW w:w="1264" w:type="dxa"/>
            <w:tcBorders>
              <w:top w:val="single" w:sz="4" w:space="0" w:color="auto"/>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0,0</w:t>
            </w:r>
          </w:p>
        </w:tc>
      </w:tr>
      <w:tr w:rsidR="009328B4" w:rsidRPr="00825FF4" w:rsidTr="001B3E1F">
        <w:trPr>
          <w:trHeight w:val="430"/>
        </w:trPr>
        <w:tc>
          <w:tcPr>
            <w:tcW w:w="6238" w:type="dxa"/>
            <w:tcBorders>
              <w:left w:val="single" w:sz="4" w:space="0" w:color="auto"/>
            </w:tcBorders>
            <w:shd w:val="clear" w:color="auto" w:fill="auto"/>
            <w:vAlign w:val="center"/>
          </w:tcPr>
          <w:p w:rsidR="009328B4" w:rsidRPr="00825FF4" w:rsidRDefault="009328B4" w:rsidP="009328B4">
            <w:pPr>
              <w:spacing w:after="0" w:line="360" w:lineRule="auto"/>
              <w:rPr>
                <w:rFonts w:cs="Arial"/>
              </w:rPr>
            </w:pPr>
            <w:r w:rsidRPr="00825FF4">
              <w:rPr>
                <w:rFonts w:cs="Arial"/>
              </w:rPr>
              <w:t>Services d'hébergement</w:t>
            </w:r>
          </w:p>
        </w:tc>
        <w:tc>
          <w:tcPr>
            <w:tcW w:w="1080" w:type="dxa"/>
            <w:vAlign w:val="center"/>
          </w:tcPr>
          <w:p w:rsidR="009328B4" w:rsidRPr="0036657B" w:rsidRDefault="009328B4" w:rsidP="009328B4">
            <w:pPr>
              <w:spacing w:after="0" w:line="360" w:lineRule="auto"/>
              <w:jc w:val="center"/>
              <w:rPr>
                <w:rFonts w:cs="Arial"/>
              </w:rPr>
            </w:pPr>
            <w:r w:rsidRPr="0036657B">
              <w:rPr>
                <w:rFonts w:cs="Arial"/>
              </w:rPr>
              <w:t>99,4</w:t>
            </w:r>
          </w:p>
        </w:tc>
        <w:tc>
          <w:tcPr>
            <w:tcW w:w="1080" w:type="dxa"/>
            <w:vAlign w:val="center"/>
          </w:tcPr>
          <w:p w:rsidR="009328B4" w:rsidRPr="0088445C" w:rsidRDefault="009328B4" w:rsidP="009328B4">
            <w:pPr>
              <w:spacing w:after="0" w:line="360" w:lineRule="auto"/>
              <w:jc w:val="center"/>
              <w:rPr>
                <w:rFonts w:cs="Arial"/>
              </w:rPr>
            </w:pPr>
            <w:r w:rsidRPr="0088445C">
              <w:rPr>
                <w:rFonts w:cs="Arial"/>
              </w:rPr>
              <w:t>98,7</w:t>
            </w:r>
          </w:p>
        </w:tc>
        <w:tc>
          <w:tcPr>
            <w:tcW w:w="1080" w:type="dxa"/>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99,8</w:t>
            </w:r>
          </w:p>
        </w:tc>
        <w:tc>
          <w:tcPr>
            <w:tcW w:w="1264" w:type="dxa"/>
            <w:tcBorders>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1,1</w:t>
            </w:r>
          </w:p>
        </w:tc>
      </w:tr>
      <w:tr w:rsidR="009328B4" w:rsidRPr="00825FF4" w:rsidTr="001B3E1F">
        <w:trPr>
          <w:trHeight w:val="422"/>
        </w:trPr>
        <w:tc>
          <w:tcPr>
            <w:tcW w:w="6238" w:type="dxa"/>
            <w:tcBorders>
              <w:left w:val="single" w:sz="4" w:space="0" w:color="auto"/>
            </w:tcBorders>
            <w:shd w:val="clear" w:color="auto" w:fill="auto"/>
            <w:vAlign w:val="center"/>
          </w:tcPr>
          <w:p w:rsidR="009328B4" w:rsidRPr="00825FF4" w:rsidRDefault="009328B4" w:rsidP="009328B4">
            <w:pPr>
              <w:spacing w:after="0" w:line="360" w:lineRule="auto"/>
              <w:rPr>
                <w:rFonts w:cs="Arial"/>
              </w:rPr>
            </w:pPr>
            <w:r w:rsidRPr="00825FF4">
              <w:rPr>
                <w:rFonts w:cs="Arial"/>
              </w:rPr>
              <w:t>Services d'hébergement</w:t>
            </w:r>
          </w:p>
        </w:tc>
        <w:tc>
          <w:tcPr>
            <w:tcW w:w="1080" w:type="dxa"/>
            <w:vAlign w:val="center"/>
          </w:tcPr>
          <w:p w:rsidR="009328B4" w:rsidRPr="0036657B" w:rsidRDefault="009328B4" w:rsidP="009328B4">
            <w:pPr>
              <w:spacing w:after="0" w:line="360" w:lineRule="auto"/>
              <w:jc w:val="center"/>
              <w:rPr>
                <w:rFonts w:cs="Arial"/>
              </w:rPr>
            </w:pPr>
            <w:r w:rsidRPr="0036657B">
              <w:rPr>
                <w:rFonts w:cs="Arial"/>
              </w:rPr>
              <w:t>99,4</w:t>
            </w:r>
          </w:p>
        </w:tc>
        <w:tc>
          <w:tcPr>
            <w:tcW w:w="1080" w:type="dxa"/>
            <w:vAlign w:val="center"/>
          </w:tcPr>
          <w:p w:rsidR="009328B4" w:rsidRPr="0088445C" w:rsidRDefault="009328B4" w:rsidP="009328B4">
            <w:pPr>
              <w:spacing w:after="0" w:line="360" w:lineRule="auto"/>
              <w:jc w:val="center"/>
              <w:rPr>
                <w:rFonts w:cs="Arial"/>
              </w:rPr>
            </w:pPr>
            <w:r w:rsidRPr="0088445C">
              <w:rPr>
                <w:rFonts w:cs="Arial"/>
              </w:rPr>
              <w:t>98,7</w:t>
            </w:r>
          </w:p>
        </w:tc>
        <w:tc>
          <w:tcPr>
            <w:tcW w:w="1080" w:type="dxa"/>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99,8</w:t>
            </w:r>
          </w:p>
        </w:tc>
        <w:tc>
          <w:tcPr>
            <w:tcW w:w="1264" w:type="dxa"/>
            <w:tcBorders>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1,1</w:t>
            </w:r>
          </w:p>
        </w:tc>
      </w:tr>
      <w:tr w:rsidR="009328B4" w:rsidRPr="00825FF4" w:rsidTr="001B3E1F">
        <w:trPr>
          <w:trHeight w:val="285"/>
        </w:trPr>
        <w:tc>
          <w:tcPr>
            <w:tcW w:w="6238" w:type="dxa"/>
            <w:tcBorders>
              <w:left w:val="single" w:sz="4" w:space="0" w:color="auto"/>
            </w:tcBorders>
            <w:shd w:val="clear" w:color="auto" w:fill="FABF8F" w:themeFill="accent6" w:themeFillTint="99"/>
            <w:vAlign w:val="center"/>
          </w:tcPr>
          <w:p w:rsidR="009328B4" w:rsidRPr="00825FF4" w:rsidRDefault="009328B4" w:rsidP="009328B4">
            <w:pPr>
              <w:spacing w:after="0"/>
              <w:rPr>
                <w:rFonts w:cs="Arial"/>
                <w:b/>
                <w:bCs/>
              </w:rPr>
            </w:pPr>
            <w:r>
              <w:rPr>
                <w:rFonts w:cs="Arial"/>
                <w:b/>
                <w:bCs/>
              </w:rPr>
              <w:t>12-</w:t>
            </w:r>
            <w:r w:rsidRPr="00825FF4">
              <w:rPr>
                <w:rFonts w:cs="Arial"/>
                <w:b/>
                <w:bCs/>
              </w:rPr>
              <w:t>BIENS ET SERVICES DIVERS</w:t>
            </w:r>
          </w:p>
        </w:tc>
        <w:tc>
          <w:tcPr>
            <w:tcW w:w="1080" w:type="dxa"/>
            <w:shd w:val="clear" w:color="auto" w:fill="FABF8F" w:themeFill="accent6" w:themeFillTint="99"/>
            <w:vAlign w:val="center"/>
          </w:tcPr>
          <w:p w:rsidR="009328B4" w:rsidRPr="0036657B" w:rsidRDefault="009328B4" w:rsidP="009328B4">
            <w:pPr>
              <w:spacing w:after="0"/>
              <w:jc w:val="center"/>
              <w:rPr>
                <w:rFonts w:cs="Arial"/>
                <w:b/>
                <w:bCs/>
              </w:rPr>
            </w:pPr>
            <w:r w:rsidRPr="0036657B">
              <w:rPr>
                <w:rFonts w:cs="Arial"/>
                <w:b/>
                <w:bCs/>
              </w:rPr>
              <w:t>102,7</w:t>
            </w:r>
          </w:p>
        </w:tc>
        <w:tc>
          <w:tcPr>
            <w:tcW w:w="1080" w:type="dxa"/>
            <w:shd w:val="clear" w:color="auto" w:fill="FABF8F" w:themeFill="accent6" w:themeFillTint="99"/>
            <w:vAlign w:val="center"/>
          </w:tcPr>
          <w:p w:rsidR="009328B4" w:rsidRPr="009328B4" w:rsidRDefault="009328B4" w:rsidP="009328B4">
            <w:pPr>
              <w:spacing w:after="0"/>
              <w:jc w:val="center"/>
              <w:rPr>
                <w:rFonts w:cs="Arial"/>
                <w:b/>
                <w:bCs/>
              </w:rPr>
            </w:pPr>
            <w:r w:rsidRPr="009328B4">
              <w:rPr>
                <w:rFonts w:cs="Arial"/>
                <w:b/>
                <w:bCs/>
              </w:rPr>
              <w:t>103,3</w:t>
            </w:r>
          </w:p>
        </w:tc>
        <w:tc>
          <w:tcPr>
            <w:tcW w:w="1080" w:type="dxa"/>
            <w:shd w:val="clear" w:color="auto" w:fill="FABF8F" w:themeFill="accent6" w:themeFillTint="99"/>
            <w:noWrap/>
            <w:vAlign w:val="center"/>
          </w:tcPr>
          <w:p w:rsidR="009328B4" w:rsidRPr="009328B4" w:rsidRDefault="009328B4" w:rsidP="009328B4">
            <w:pPr>
              <w:spacing w:after="0"/>
              <w:jc w:val="center"/>
              <w:rPr>
                <w:rFonts w:cs="Arial"/>
                <w:b/>
                <w:bCs/>
              </w:rPr>
            </w:pPr>
            <w:r w:rsidRPr="009328B4">
              <w:rPr>
                <w:rFonts w:cs="Arial"/>
                <w:b/>
                <w:bCs/>
              </w:rPr>
              <w:t>106,0</w:t>
            </w:r>
          </w:p>
        </w:tc>
        <w:tc>
          <w:tcPr>
            <w:tcW w:w="1264" w:type="dxa"/>
            <w:tcBorders>
              <w:right w:val="single" w:sz="4" w:space="0" w:color="auto"/>
            </w:tcBorders>
            <w:shd w:val="clear" w:color="auto" w:fill="FABF8F" w:themeFill="accent6" w:themeFillTint="99"/>
            <w:noWrap/>
            <w:vAlign w:val="center"/>
          </w:tcPr>
          <w:p w:rsidR="009328B4" w:rsidRPr="009328B4" w:rsidRDefault="009328B4" w:rsidP="009328B4">
            <w:pPr>
              <w:spacing w:after="0"/>
              <w:jc w:val="center"/>
              <w:rPr>
                <w:rFonts w:cs="Arial"/>
                <w:b/>
                <w:bCs/>
              </w:rPr>
            </w:pPr>
            <w:r w:rsidRPr="009328B4">
              <w:rPr>
                <w:rFonts w:cs="Arial"/>
                <w:b/>
                <w:bCs/>
              </w:rPr>
              <w:t>2,6</w:t>
            </w:r>
          </w:p>
        </w:tc>
      </w:tr>
      <w:tr w:rsidR="009328B4" w:rsidRPr="00825FF4" w:rsidTr="001B3E1F">
        <w:trPr>
          <w:trHeight w:val="434"/>
        </w:trPr>
        <w:tc>
          <w:tcPr>
            <w:tcW w:w="6238" w:type="dxa"/>
            <w:tcBorders>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Soins corporels</w:t>
            </w:r>
          </w:p>
        </w:tc>
        <w:tc>
          <w:tcPr>
            <w:tcW w:w="1080" w:type="dxa"/>
            <w:vAlign w:val="center"/>
          </w:tcPr>
          <w:p w:rsidR="009328B4" w:rsidRPr="000F70D3" w:rsidRDefault="009328B4" w:rsidP="009328B4">
            <w:pPr>
              <w:spacing w:after="0" w:line="360" w:lineRule="auto"/>
              <w:jc w:val="center"/>
              <w:rPr>
                <w:rFonts w:cs="Arial"/>
              </w:rPr>
            </w:pPr>
            <w:r w:rsidRPr="000F70D3">
              <w:rPr>
                <w:rFonts w:cs="Arial"/>
              </w:rPr>
              <w:t>102,0</w:t>
            </w:r>
          </w:p>
        </w:tc>
        <w:tc>
          <w:tcPr>
            <w:tcW w:w="1080" w:type="dxa"/>
            <w:vAlign w:val="center"/>
          </w:tcPr>
          <w:p w:rsidR="009328B4" w:rsidRPr="0088445C" w:rsidRDefault="009328B4" w:rsidP="009328B4">
            <w:pPr>
              <w:spacing w:after="0" w:line="360" w:lineRule="auto"/>
              <w:jc w:val="center"/>
              <w:rPr>
                <w:rFonts w:cs="Arial"/>
              </w:rPr>
            </w:pPr>
            <w:r w:rsidRPr="0088445C">
              <w:rPr>
                <w:rFonts w:cs="Arial"/>
              </w:rPr>
              <w:t>102,7</w:t>
            </w:r>
          </w:p>
        </w:tc>
        <w:tc>
          <w:tcPr>
            <w:tcW w:w="1080" w:type="dxa"/>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105,1</w:t>
            </w:r>
          </w:p>
        </w:tc>
        <w:tc>
          <w:tcPr>
            <w:tcW w:w="1264" w:type="dxa"/>
            <w:tcBorders>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2,3</w:t>
            </w:r>
          </w:p>
        </w:tc>
      </w:tr>
      <w:tr w:rsidR="009328B4" w:rsidRPr="00825FF4" w:rsidTr="001B3E1F">
        <w:trPr>
          <w:trHeight w:val="495"/>
        </w:trPr>
        <w:tc>
          <w:tcPr>
            <w:tcW w:w="6238" w:type="dxa"/>
            <w:tcBorders>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Salons de coiffure et instituts de soins et de beauté</w:t>
            </w:r>
          </w:p>
        </w:tc>
        <w:tc>
          <w:tcPr>
            <w:tcW w:w="1080" w:type="dxa"/>
            <w:vAlign w:val="center"/>
          </w:tcPr>
          <w:p w:rsidR="009328B4" w:rsidRPr="000F70D3" w:rsidRDefault="009328B4" w:rsidP="009328B4">
            <w:pPr>
              <w:spacing w:after="0" w:line="360" w:lineRule="auto"/>
              <w:jc w:val="center"/>
              <w:rPr>
                <w:rFonts w:cs="Arial"/>
              </w:rPr>
            </w:pPr>
            <w:r w:rsidRPr="000F70D3">
              <w:rPr>
                <w:rFonts w:cs="Arial"/>
              </w:rPr>
              <w:t>100,8</w:t>
            </w:r>
          </w:p>
        </w:tc>
        <w:tc>
          <w:tcPr>
            <w:tcW w:w="1080" w:type="dxa"/>
            <w:vAlign w:val="center"/>
          </w:tcPr>
          <w:p w:rsidR="009328B4" w:rsidRPr="0088445C" w:rsidRDefault="009328B4" w:rsidP="009328B4">
            <w:pPr>
              <w:spacing w:after="0" w:line="360" w:lineRule="auto"/>
              <w:jc w:val="center"/>
              <w:rPr>
                <w:rFonts w:cs="Arial"/>
              </w:rPr>
            </w:pPr>
            <w:r w:rsidRPr="0088445C">
              <w:rPr>
                <w:rFonts w:cs="Arial"/>
              </w:rPr>
              <w:t>102,8</w:t>
            </w:r>
          </w:p>
        </w:tc>
        <w:tc>
          <w:tcPr>
            <w:tcW w:w="1080" w:type="dxa"/>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108,0</w:t>
            </w:r>
          </w:p>
        </w:tc>
        <w:tc>
          <w:tcPr>
            <w:tcW w:w="1264" w:type="dxa"/>
            <w:tcBorders>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5,1</w:t>
            </w:r>
          </w:p>
        </w:tc>
      </w:tr>
      <w:tr w:rsidR="009328B4" w:rsidRPr="00825FF4" w:rsidTr="001B3E1F">
        <w:trPr>
          <w:trHeight w:val="420"/>
        </w:trPr>
        <w:tc>
          <w:tcPr>
            <w:tcW w:w="6238" w:type="dxa"/>
            <w:tcBorders>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Appareils électriques pour soins corporels</w:t>
            </w:r>
          </w:p>
        </w:tc>
        <w:tc>
          <w:tcPr>
            <w:tcW w:w="1080" w:type="dxa"/>
            <w:vAlign w:val="center"/>
          </w:tcPr>
          <w:p w:rsidR="009328B4" w:rsidRPr="000F70D3" w:rsidRDefault="009328B4" w:rsidP="009328B4">
            <w:pPr>
              <w:spacing w:after="0" w:line="360" w:lineRule="auto"/>
              <w:jc w:val="center"/>
              <w:rPr>
                <w:rFonts w:cs="Arial"/>
              </w:rPr>
            </w:pPr>
            <w:r w:rsidRPr="000F70D3">
              <w:rPr>
                <w:rFonts w:cs="Arial"/>
              </w:rPr>
              <w:t>100,0</w:t>
            </w:r>
          </w:p>
        </w:tc>
        <w:tc>
          <w:tcPr>
            <w:tcW w:w="1080" w:type="dxa"/>
            <w:vAlign w:val="center"/>
          </w:tcPr>
          <w:p w:rsidR="009328B4" w:rsidRPr="0088445C" w:rsidRDefault="009328B4" w:rsidP="009328B4">
            <w:pPr>
              <w:spacing w:after="0" w:line="360" w:lineRule="auto"/>
              <w:jc w:val="center"/>
              <w:rPr>
                <w:rFonts w:cs="Arial"/>
              </w:rPr>
            </w:pPr>
            <w:r w:rsidRPr="0088445C">
              <w:rPr>
                <w:rFonts w:cs="Arial"/>
              </w:rPr>
              <w:t>100,1</w:t>
            </w:r>
          </w:p>
        </w:tc>
        <w:tc>
          <w:tcPr>
            <w:tcW w:w="1080" w:type="dxa"/>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100,1</w:t>
            </w:r>
          </w:p>
        </w:tc>
        <w:tc>
          <w:tcPr>
            <w:tcW w:w="1264" w:type="dxa"/>
            <w:tcBorders>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0,0</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Autres appareils, articles et produits pour soins corporels</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102,9</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102,7</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102,8</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0,1</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Effets personnels  n.c.a.</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100,3</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100,3</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117,9</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17,5</w:t>
            </w:r>
          </w:p>
        </w:tc>
      </w:tr>
      <w:tr w:rsidR="009328B4" w:rsidRPr="00825FF4" w:rsidTr="001B3E1F">
        <w:trPr>
          <w:trHeight w:val="461"/>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Articles de bijouterie et horlogerie</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99,6</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99,6</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125,3</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25,8</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Autres effets personnels</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101,8</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101,8</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102,6</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0,8</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Assurance</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106,5</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106,5</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106,5</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0,0</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Assurance transports</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106,5</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106,5</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106,5</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0,0</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Services financiers</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100,0</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100,1</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100,1</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0,0</w:t>
            </w:r>
          </w:p>
        </w:tc>
      </w:tr>
      <w:tr w:rsidR="009328B4" w:rsidRPr="00825FF4" w:rsidTr="001B3E1F">
        <w:trPr>
          <w:trHeight w:val="48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Coût des services d'intermédiation financier</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100,0</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100,1</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100,1</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0,0</w:t>
            </w:r>
          </w:p>
        </w:tc>
      </w:tr>
      <w:tr w:rsidR="009328B4" w:rsidRPr="00825FF4" w:rsidTr="001B3E1F">
        <w:trPr>
          <w:trHeight w:val="420"/>
        </w:trPr>
        <w:tc>
          <w:tcPr>
            <w:tcW w:w="6238" w:type="dxa"/>
            <w:tcBorders>
              <w:top w:val="nil"/>
              <w:left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 xml:space="preserve">Autres services </w:t>
            </w:r>
          </w:p>
        </w:tc>
        <w:tc>
          <w:tcPr>
            <w:tcW w:w="1080" w:type="dxa"/>
            <w:tcBorders>
              <w:top w:val="nil"/>
            </w:tcBorders>
            <w:vAlign w:val="center"/>
          </w:tcPr>
          <w:p w:rsidR="009328B4" w:rsidRPr="000F70D3" w:rsidRDefault="009328B4" w:rsidP="009328B4">
            <w:pPr>
              <w:spacing w:after="0" w:line="360" w:lineRule="auto"/>
              <w:jc w:val="center"/>
              <w:rPr>
                <w:rFonts w:cs="Arial"/>
              </w:rPr>
            </w:pPr>
            <w:r w:rsidRPr="000F70D3">
              <w:rPr>
                <w:rFonts w:cs="Arial"/>
              </w:rPr>
              <w:t>100,9</w:t>
            </w:r>
          </w:p>
        </w:tc>
        <w:tc>
          <w:tcPr>
            <w:tcW w:w="1080" w:type="dxa"/>
            <w:tcBorders>
              <w:top w:val="nil"/>
            </w:tcBorders>
            <w:vAlign w:val="center"/>
          </w:tcPr>
          <w:p w:rsidR="009328B4" w:rsidRPr="0088445C" w:rsidRDefault="009328B4" w:rsidP="009328B4">
            <w:pPr>
              <w:spacing w:after="0" w:line="360" w:lineRule="auto"/>
              <w:jc w:val="center"/>
              <w:rPr>
                <w:rFonts w:cs="Arial"/>
              </w:rPr>
            </w:pPr>
            <w:r w:rsidRPr="0088445C">
              <w:rPr>
                <w:rFonts w:cs="Arial"/>
              </w:rPr>
              <w:t>100,9</w:t>
            </w:r>
          </w:p>
        </w:tc>
        <w:tc>
          <w:tcPr>
            <w:tcW w:w="1080" w:type="dxa"/>
            <w:tcBorders>
              <w:top w:val="nil"/>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105,3</w:t>
            </w:r>
          </w:p>
        </w:tc>
        <w:tc>
          <w:tcPr>
            <w:tcW w:w="1264" w:type="dxa"/>
            <w:tcBorders>
              <w:top w:val="nil"/>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4,4</w:t>
            </w:r>
          </w:p>
        </w:tc>
      </w:tr>
      <w:tr w:rsidR="009328B4" w:rsidRPr="00825FF4" w:rsidTr="001B3E1F">
        <w:trPr>
          <w:trHeight w:val="420"/>
        </w:trPr>
        <w:tc>
          <w:tcPr>
            <w:tcW w:w="6238" w:type="dxa"/>
            <w:tcBorders>
              <w:top w:val="nil"/>
              <w:left w:val="single" w:sz="4" w:space="0" w:color="auto"/>
              <w:bottom w:val="single" w:sz="4" w:space="0" w:color="auto"/>
            </w:tcBorders>
            <w:shd w:val="clear" w:color="auto" w:fill="auto"/>
            <w:vAlign w:val="center"/>
          </w:tcPr>
          <w:p w:rsidR="009328B4" w:rsidRPr="00881D5D" w:rsidRDefault="009328B4" w:rsidP="009328B4">
            <w:pPr>
              <w:spacing w:after="0" w:line="360" w:lineRule="auto"/>
              <w:rPr>
                <w:rFonts w:cs="Arial"/>
              </w:rPr>
            </w:pPr>
            <w:r w:rsidRPr="00881D5D">
              <w:rPr>
                <w:rFonts w:cs="Arial"/>
              </w:rPr>
              <w:t xml:space="preserve">Autres services </w:t>
            </w:r>
          </w:p>
        </w:tc>
        <w:tc>
          <w:tcPr>
            <w:tcW w:w="1080" w:type="dxa"/>
            <w:tcBorders>
              <w:top w:val="nil"/>
              <w:bottom w:val="single" w:sz="4" w:space="0" w:color="auto"/>
            </w:tcBorders>
            <w:vAlign w:val="center"/>
          </w:tcPr>
          <w:p w:rsidR="009328B4" w:rsidRPr="000F70D3" w:rsidRDefault="009328B4" w:rsidP="009328B4">
            <w:pPr>
              <w:spacing w:after="0" w:line="360" w:lineRule="auto"/>
              <w:jc w:val="center"/>
              <w:rPr>
                <w:rFonts w:cs="Arial"/>
              </w:rPr>
            </w:pPr>
            <w:r w:rsidRPr="000F70D3">
              <w:rPr>
                <w:rFonts w:cs="Arial"/>
              </w:rPr>
              <w:t>100,9</w:t>
            </w:r>
          </w:p>
        </w:tc>
        <w:tc>
          <w:tcPr>
            <w:tcW w:w="1080" w:type="dxa"/>
            <w:tcBorders>
              <w:top w:val="nil"/>
              <w:bottom w:val="single" w:sz="4" w:space="0" w:color="auto"/>
            </w:tcBorders>
            <w:vAlign w:val="center"/>
          </w:tcPr>
          <w:p w:rsidR="009328B4" w:rsidRPr="0088445C" w:rsidRDefault="009328B4" w:rsidP="009328B4">
            <w:pPr>
              <w:spacing w:after="0" w:line="360" w:lineRule="auto"/>
              <w:jc w:val="center"/>
              <w:rPr>
                <w:rFonts w:cs="Arial"/>
              </w:rPr>
            </w:pPr>
            <w:r w:rsidRPr="0088445C">
              <w:rPr>
                <w:rFonts w:cs="Arial"/>
              </w:rPr>
              <w:t>100,9</w:t>
            </w:r>
          </w:p>
        </w:tc>
        <w:tc>
          <w:tcPr>
            <w:tcW w:w="1080" w:type="dxa"/>
            <w:tcBorders>
              <w:top w:val="nil"/>
              <w:bottom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105,3</w:t>
            </w:r>
          </w:p>
        </w:tc>
        <w:tc>
          <w:tcPr>
            <w:tcW w:w="1264" w:type="dxa"/>
            <w:tcBorders>
              <w:top w:val="nil"/>
              <w:bottom w:val="single" w:sz="4" w:space="0" w:color="auto"/>
              <w:right w:val="single" w:sz="4" w:space="0" w:color="auto"/>
            </w:tcBorders>
            <w:shd w:val="clear" w:color="auto" w:fill="auto"/>
            <w:noWrap/>
            <w:vAlign w:val="center"/>
          </w:tcPr>
          <w:p w:rsidR="009328B4" w:rsidRPr="009328B4" w:rsidRDefault="009328B4" w:rsidP="009328B4">
            <w:pPr>
              <w:spacing w:after="0" w:line="360" w:lineRule="auto"/>
              <w:jc w:val="center"/>
              <w:rPr>
                <w:rFonts w:cs="Arial"/>
              </w:rPr>
            </w:pPr>
            <w:r w:rsidRPr="009328B4">
              <w:rPr>
                <w:rFonts w:cs="Arial"/>
              </w:rPr>
              <w:t>4,4</w:t>
            </w:r>
          </w:p>
        </w:tc>
      </w:tr>
    </w:tbl>
    <w:p w:rsidR="00364035" w:rsidRPr="00AB4198" w:rsidRDefault="00AB4198" w:rsidP="00AB4198">
      <w:pPr>
        <w:jc w:val="right"/>
        <w:rPr>
          <w:b/>
          <w:bCs/>
          <w:sz w:val="16"/>
          <w:szCs w:val="16"/>
        </w:rPr>
      </w:pPr>
      <w:r w:rsidRPr="00AB4198">
        <w:rPr>
          <w:b/>
          <w:bCs/>
          <w:sz w:val="16"/>
          <w:szCs w:val="16"/>
        </w:rPr>
        <w:t>Source : HCP</w:t>
      </w:r>
    </w:p>
    <w:p w:rsidR="00364035" w:rsidRDefault="00364035" w:rsidP="00AD39F6">
      <w:pPr>
        <w:jc w:val="center"/>
      </w:pPr>
    </w:p>
    <w:p w:rsidR="00335639" w:rsidRDefault="00335639" w:rsidP="00AD39F6">
      <w:pPr>
        <w:jc w:val="center"/>
      </w:pPr>
    </w:p>
    <w:p w:rsidR="00BC28D0" w:rsidRDefault="00BC28D0" w:rsidP="00AD39F6">
      <w:pPr>
        <w:jc w:val="center"/>
      </w:pPr>
    </w:p>
    <w:p w:rsidR="00335639" w:rsidRDefault="00335639" w:rsidP="00AD39F6">
      <w:pPr>
        <w:jc w:val="center"/>
      </w:pPr>
    </w:p>
    <w:sectPr w:rsidR="00335639" w:rsidSect="0045122F">
      <w:footerReference w:type="default" r:id="rId18"/>
      <w:pgSz w:w="11906" w:h="16838"/>
      <w:pgMar w:top="284" w:right="991"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790" w:rsidRDefault="00714790" w:rsidP="009E2412">
      <w:pPr>
        <w:spacing w:after="0" w:line="240" w:lineRule="auto"/>
      </w:pPr>
      <w:r>
        <w:separator/>
      </w:r>
    </w:p>
  </w:endnote>
  <w:endnote w:type="continuationSeparator" w:id="1">
    <w:p w:rsidR="00714790" w:rsidRDefault="00714790" w:rsidP="009E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142014"/>
      <w:docPartObj>
        <w:docPartGallery w:val="Page Numbers (Bottom of Page)"/>
        <w:docPartUnique/>
      </w:docPartObj>
    </w:sdtPr>
    <w:sdtContent>
      <w:p w:rsidR="005541AF" w:rsidRDefault="006C52F7">
        <w:pPr>
          <w:pStyle w:val="Pieddepage"/>
          <w:jc w:val="center"/>
        </w:pPr>
        <w:r>
          <w:fldChar w:fldCharType="begin"/>
        </w:r>
        <w:r w:rsidR="005541AF">
          <w:instrText>PAGE   \* MERGEFORMAT</w:instrText>
        </w:r>
        <w:r>
          <w:fldChar w:fldCharType="separate"/>
        </w:r>
        <w:r w:rsidR="00617383">
          <w:rPr>
            <w:noProof/>
          </w:rPr>
          <w:t>24</w:t>
        </w:r>
        <w:r>
          <w:rPr>
            <w:noProof/>
          </w:rPr>
          <w:fldChar w:fldCharType="end"/>
        </w:r>
      </w:p>
    </w:sdtContent>
  </w:sdt>
  <w:p w:rsidR="005541AF" w:rsidRDefault="005541AF">
    <w:pPr>
      <w:pStyle w:val="Pieddepage"/>
    </w:pPr>
  </w:p>
  <w:p w:rsidR="005541AF" w:rsidRDefault="005541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790" w:rsidRDefault="00714790" w:rsidP="009E2412">
      <w:pPr>
        <w:spacing w:after="0" w:line="240" w:lineRule="auto"/>
      </w:pPr>
      <w:r>
        <w:separator/>
      </w:r>
    </w:p>
  </w:footnote>
  <w:footnote w:type="continuationSeparator" w:id="1">
    <w:p w:rsidR="00714790" w:rsidRDefault="00714790" w:rsidP="009E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DC8B"/>
      </v:shape>
    </w:pict>
  </w:numPicBullet>
  <w:abstractNum w:abstractNumId="0">
    <w:nsid w:val="03B97B9B"/>
    <w:multiLevelType w:val="hybridMultilevel"/>
    <w:tmpl w:val="D3501D5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8EE4913"/>
    <w:multiLevelType w:val="hybridMultilevel"/>
    <w:tmpl w:val="7B5C07BE"/>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E324A5F"/>
    <w:multiLevelType w:val="hybridMultilevel"/>
    <w:tmpl w:val="D244189C"/>
    <w:lvl w:ilvl="0" w:tplc="86E8E5C6">
      <w:start w:val="1"/>
      <w:numFmt w:val="bullet"/>
      <w:pStyle w:val="TitreI"/>
      <w:lvlText w:val="•"/>
      <w:lvlJc w:val="left"/>
      <w:pPr>
        <w:tabs>
          <w:tab w:val="num" w:pos="720"/>
        </w:tabs>
        <w:ind w:left="720" w:hanging="360"/>
      </w:pPr>
      <w:rPr>
        <w:rFonts w:ascii="Times New Roman" w:hAnsi="Times New Roman" w:hint="default"/>
      </w:rPr>
    </w:lvl>
    <w:lvl w:ilvl="1" w:tplc="79180C5E" w:tentative="1">
      <w:start w:val="1"/>
      <w:numFmt w:val="bullet"/>
      <w:lvlText w:val="•"/>
      <w:lvlJc w:val="left"/>
      <w:pPr>
        <w:tabs>
          <w:tab w:val="num" w:pos="1440"/>
        </w:tabs>
        <w:ind w:left="1440" w:hanging="360"/>
      </w:pPr>
      <w:rPr>
        <w:rFonts w:ascii="Times New Roman" w:hAnsi="Times New Roman" w:hint="default"/>
      </w:rPr>
    </w:lvl>
    <w:lvl w:ilvl="2" w:tplc="DE38CB02" w:tentative="1">
      <w:start w:val="1"/>
      <w:numFmt w:val="bullet"/>
      <w:lvlText w:val="•"/>
      <w:lvlJc w:val="left"/>
      <w:pPr>
        <w:tabs>
          <w:tab w:val="num" w:pos="2160"/>
        </w:tabs>
        <w:ind w:left="2160" w:hanging="360"/>
      </w:pPr>
      <w:rPr>
        <w:rFonts w:ascii="Times New Roman" w:hAnsi="Times New Roman" w:hint="default"/>
      </w:rPr>
    </w:lvl>
    <w:lvl w:ilvl="3" w:tplc="8A546018" w:tentative="1">
      <w:start w:val="1"/>
      <w:numFmt w:val="bullet"/>
      <w:lvlText w:val="•"/>
      <w:lvlJc w:val="left"/>
      <w:pPr>
        <w:tabs>
          <w:tab w:val="num" w:pos="2880"/>
        </w:tabs>
        <w:ind w:left="2880" w:hanging="360"/>
      </w:pPr>
      <w:rPr>
        <w:rFonts w:ascii="Times New Roman" w:hAnsi="Times New Roman" w:hint="default"/>
      </w:rPr>
    </w:lvl>
    <w:lvl w:ilvl="4" w:tplc="012EA23E" w:tentative="1">
      <w:start w:val="1"/>
      <w:numFmt w:val="bullet"/>
      <w:lvlText w:val="•"/>
      <w:lvlJc w:val="left"/>
      <w:pPr>
        <w:tabs>
          <w:tab w:val="num" w:pos="3600"/>
        </w:tabs>
        <w:ind w:left="3600" w:hanging="360"/>
      </w:pPr>
      <w:rPr>
        <w:rFonts w:ascii="Times New Roman" w:hAnsi="Times New Roman" w:hint="default"/>
      </w:rPr>
    </w:lvl>
    <w:lvl w:ilvl="5" w:tplc="B7E2EFD0" w:tentative="1">
      <w:start w:val="1"/>
      <w:numFmt w:val="bullet"/>
      <w:lvlText w:val="•"/>
      <w:lvlJc w:val="left"/>
      <w:pPr>
        <w:tabs>
          <w:tab w:val="num" w:pos="4320"/>
        </w:tabs>
        <w:ind w:left="4320" w:hanging="360"/>
      </w:pPr>
      <w:rPr>
        <w:rFonts w:ascii="Times New Roman" w:hAnsi="Times New Roman" w:hint="default"/>
      </w:rPr>
    </w:lvl>
    <w:lvl w:ilvl="6" w:tplc="838AE8F6" w:tentative="1">
      <w:start w:val="1"/>
      <w:numFmt w:val="bullet"/>
      <w:lvlText w:val="•"/>
      <w:lvlJc w:val="left"/>
      <w:pPr>
        <w:tabs>
          <w:tab w:val="num" w:pos="5040"/>
        </w:tabs>
        <w:ind w:left="5040" w:hanging="360"/>
      </w:pPr>
      <w:rPr>
        <w:rFonts w:ascii="Times New Roman" w:hAnsi="Times New Roman" w:hint="default"/>
      </w:rPr>
    </w:lvl>
    <w:lvl w:ilvl="7" w:tplc="C49E958E" w:tentative="1">
      <w:start w:val="1"/>
      <w:numFmt w:val="bullet"/>
      <w:lvlText w:val="•"/>
      <w:lvlJc w:val="left"/>
      <w:pPr>
        <w:tabs>
          <w:tab w:val="num" w:pos="5760"/>
        </w:tabs>
        <w:ind w:left="5760" w:hanging="360"/>
      </w:pPr>
      <w:rPr>
        <w:rFonts w:ascii="Times New Roman" w:hAnsi="Times New Roman" w:hint="default"/>
      </w:rPr>
    </w:lvl>
    <w:lvl w:ilvl="8" w:tplc="FD2E549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0A6BCB"/>
    <w:multiLevelType w:val="hybridMultilevel"/>
    <w:tmpl w:val="D36EA67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43D4B64"/>
    <w:multiLevelType w:val="hybridMultilevel"/>
    <w:tmpl w:val="674E71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5424EA"/>
    <w:multiLevelType w:val="multilevel"/>
    <w:tmpl w:val="E72AE742"/>
    <w:lvl w:ilvl="0">
      <w:start w:val="1"/>
      <w:numFmt w:val="upperRoman"/>
      <w:lvlText w:val="%1."/>
      <w:lvlJc w:val="right"/>
      <w:pPr>
        <w:ind w:left="1284" w:hanging="432"/>
      </w:pPr>
      <w:rPr>
        <w:b/>
        <w:bCs/>
        <w:i w:val="0"/>
        <w:iCs w:val="0"/>
        <w:caps w:val="0"/>
        <w:smallCaps w:val="0"/>
        <w:strike w:val="0"/>
        <w:dstrike w:val="0"/>
        <w:noProof w:val="0"/>
        <w:vanish w:val="0"/>
        <w:color w:val="4F81BD" w:themeColor="accent1"/>
        <w:spacing w:val="0"/>
        <w:kern w:val="0"/>
        <w:position w:val="0"/>
        <w:u w:val="none"/>
        <w:vertAlign w:val="baseline"/>
        <w:em w:val="none"/>
      </w:rPr>
    </w:lvl>
    <w:lvl w:ilvl="1">
      <w:start w:val="1"/>
      <w:numFmt w:val="bullet"/>
      <w:lvlText w:val=""/>
      <w:lvlPicBulletId w:val="0"/>
      <w:lvlJc w:val="left"/>
      <w:pPr>
        <w:ind w:left="1428" w:hanging="576"/>
      </w:pPr>
      <w:rPr>
        <w:rFonts w:ascii="Symbol" w:hAnsi="Symbol" w:hint="default"/>
      </w:rPr>
    </w:lvl>
    <w:lvl w:ilvl="2">
      <w:start w:val="1"/>
      <w:numFmt w:val="decimal"/>
      <w:lvlText w:val="%1.%2.%3"/>
      <w:lvlJc w:val="left"/>
      <w:pPr>
        <w:ind w:left="1572" w:hanging="720"/>
      </w:pPr>
    </w:lvl>
    <w:lvl w:ilvl="3">
      <w:start w:val="1"/>
      <w:numFmt w:val="decimal"/>
      <w:lvlText w:val="%1.%2.%3.%4"/>
      <w:lvlJc w:val="left"/>
      <w:pPr>
        <w:ind w:left="1716" w:hanging="864"/>
      </w:pPr>
      <w:rPr>
        <w:i w:val="0"/>
        <w:iCs w:val="0"/>
      </w:rPr>
    </w:lvl>
    <w:lvl w:ilvl="4">
      <w:start w:val="1"/>
      <w:numFmt w:val="decimal"/>
      <w:lvlText w:val="%1.%2.%3.%4.%5"/>
      <w:lvlJc w:val="left"/>
      <w:pPr>
        <w:ind w:left="1860" w:hanging="1008"/>
      </w:pPr>
    </w:lvl>
    <w:lvl w:ilvl="5">
      <w:start w:val="1"/>
      <w:numFmt w:val="decimal"/>
      <w:lvlText w:val="%1.%2.%3.%4.%5.%6"/>
      <w:lvlJc w:val="left"/>
      <w:pPr>
        <w:ind w:left="2004" w:hanging="1152"/>
      </w:pPr>
    </w:lvl>
    <w:lvl w:ilvl="6">
      <w:start w:val="1"/>
      <w:numFmt w:val="decimal"/>
      <w:lvlText w:val="%1.%2.%3.%4.%5.%6.%7"/>
      <w:lvlJc w:val="left"/>
      <w:pPr>
        <w:ind w:left="2148" w:hanging="1296"/>
      </w:pPr>
    </w:lvl>
    <w:lvl w:ilvl="7">
      <w:start w:val="1"/>
      <w:numFmt w:val="decimal"/>
      <w:lvlText w:val="%1.%2.%3.%4.%5.%6.%7.%8"/>
      <w:lvlJc w:val="left"/>
      <w:pPr>
        <w:ind w:left="2292" w:hanging="1440"/>
      </w:pPr>
    </w:lvl>
    <w:lvl w:ilvl="8">
      <w:start w:val="1"/>
      <w:numFmt w:val="decimal"/>
      <w:lvlText w:val="%1.%2.%3.%4.%5.%6.%7.%8.%9"/>
      <w:lvlJc w:val="left"/>
      <w:pPr>
        <w:ind w:left="2436" w:hanging="1584"/>
      </w:pPr>
    </w:lvl>
  </w:abstractNum>
  <w:abstractNum w:abstractNumId="6">
    <w:nsid w:val="403F726A"/>
    <w:multiLevelType w:val="hybridMultilevel"/>
    <w:tmpl w:val="6A6C2C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796F08"/>
    <w:multiLevelType w:val="hybridMultilevel"/>
    <w:tmpl w:val="674E71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9174D9"/>
    <w:multiLevelType w:val="hybridMultilevel"/>
    <w:tmpl w:val="750A6C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462BF5"/>
    <w:multiLevelType w:val="hybridMultilevel"/>
    <w:tmpl w:val="FC6421D8"/>
    <w:lvl w:ilvl="0" w:tplc="040C0007">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5F2BC6"/>
    <w:multiLevelType w:val="hybridMultilevel"/>
    <w:tmpl w:val="66809C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1F4EA8"/>
    <w:multiLevelType w:val="hybridMultilevel"/>
    <w:tmpl w:val="CACA4FF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84B4703"/>
    <w:multiLevelType w:val="hybridMultilevel"/>
    <w:tmpl w:val="B70CD3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9E48B1"/>
    <w:multiLevelType w:val="hybridMultilevel"/>
    <w:tmpl w:val="5E80DCB4"/>
    <w:lvl w:ilvl="0" w:tplc="8F60E3E6">
      <w:start w:val="1"/>
      <w:numFmt w:val="upperLetter"/>
      <w:lvlText w:val="%1."/>
      <w:lvlJc w:val="left"/>
      <w:pPr>
        <w:ind w:left="360" w:hanging="360"/>
      </w:pPr>
      <w:rPr>
        <w:color w:val="E36C0A" w:themeColor="accent6" w:themeShade="BF"/>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345637F"/>
    <w:multiLevelType w:val="hybridMultilevel"/>
    <w:tmpl w:val="9034AEE6"/>
    <w:lvl w:ilvl="0" w:tplc="E65882FE">
      <w:start w:val="1"/>
      <w:numFmt w:val="bullet"/>
      <w:lvlText w:val=""/>
      <w:lvlJc w:val="left"/>
      <w:pPr>
        <w:ind w:left="3283" w:hanging="360"/>
      </w:pPr>
      <w:rPr>
        <w:rFonts w:ascii="Wingdings" w:hAnsi="Wingdings" w:hint="default"/>
        <w:color w:val="auto"/>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0"/>
  </w:num>
  <w:num w:numId="6">
    <w:abstractNumId w:val="5"/>
  </w:num>
  <w:num w:numId="7">
    <w:abstractNumId w:val="11"/>
  </w:num>
  <w:num w:numId="8">
    <w:abstractNumId w:val="6"/>
  </w:num>
  <w:num w:numId="9">
    <w:abstractNumId w:val="8"/>
  </w:num>
  <w:num w:numId="10">
    <w:abstractNumId w:val="13"/>
  </w:num>
  <w:num w:numId="11">
    <w:abstractNumId w:val="12"/>
  </w:num>
  <w:num w:numId="12">
    <w:abstractNumId w:val="15"/>
  </w:num>
  <w:num w:numId="13">
    <w:abstractNumId w:val="15"/>
  </w:num>
  <w:num w:numId="14">
    <w:abstractNumId w:val="15"/>
  </w:num>
  <w:num w:numId="15">
    <w:abstractNumId w:val="3"/>
  </w:num>
  <w:num w:numId="16">
    <w:abstractNumId w:val="1"/>
  </w:num>
  <w:num w:numId="17">
    <w:abstractNumId w:val="10"/>
  </w:num>
  <w:num w:numId="18">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fr-FR" w:vendorID="64" w:dllVersion="131078" w:nlCheck="1" w:checkStyle="0"/>
  <w:activeWritingStyle w:appName="MSWord" w:lang="en-US" w:vendorID="64" w:dllVersion="131078" w:nlCheck="1" w:checkStyle="0"/>
  <w:activeWritingStyle w:appName="MSWord" w:lang="fr-MA" w:vendorID="64" w:dllVersion="131078" w:nlCheck="1" w:checkStyle="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A976B6"/>
    <w:rsid w:val="00000178"/>
    <w:rsid w:val="00002361"/>
    <w:rsid w:val="00005159"/>
    <w:rsid w:val="00005466"/>
    <w:rsid w:val="000065D8"/>
    <w:rsid w:val="00007386"/>
    <w:rsid w:val="000105FF"/>
    <w:rsid w:val="000145D6"/>
    <w:rsid w:val="00016B0F"/>
    <w:rsid w:val="00017FA6"/>
    <w:rsid w:val="0002091A"/>
    <w:rsid w:val="00021DEE"/>
    <w:rsid w:val="0002472B"/>
    <w:rsid w:val="000247A5"/>
    <w:rsid w:val="000275B8"/>
    <w:rsid w:val="000310F5"/>
    <w:rsid w:val="00032E90"/>
    <w:rsid w:val="00034BFF"/>
    <w:rsid w:val="00035FE6"/>
    <w:rsid w:val="00036622"/>
    <w:rsid w:val="000419D4"/>
    <w:rsid w:val="000427EF"/>
    <w:rsid w:val="000451C9"/>
    <w:rsid w:val="00047638"/>
    <w:rsid w:val="0005094B"/>
    <w:rsid w:val="00051067"/>
    <w:rsid w:val="00054505"/>
    <w:rsid w:val="00054868"/>
    <w:rsid w:val="000551B7"/>
    <w:rsid w:val="00057B5C"/>
    <w:rsid w:val="00057E0F"/>
    <w:rsid w:val="00061A08"/>
    <w:rsid w:val="00061A6A"/>
    <w:rsid w:val="00061A6B"/>
    <w:rsid w:val="00065EE7"/>
    <w:rsid w:val="00066148"/>
    <w:rsid w:val="000665DB"/>
    <w:rsid w:val="00066B5A"/>
    <w:rsid w:val="000673ED"/>
    <w:rsid w:val="0007513D"/>
    <w:rsid w:val="0007624A"/>
    <w:rsid w:val="00083CBA"/>
    <w:rsid w:val="00086B20"/>
    <w:rsid w:val="000936AC"/>
    <w:rsid w:val="000937FE"/>
    <w:rsid w:val="00094711"/>
    <w:rsid w:val="000977A7"/>
    <w:rsid w:val="000A1F70"/>
    <w:rsid w:val="000A3685"/>
    <w:rsid w:val="000A3BD6"/>
    <w:rsid w:val="000A5D69"/>
    <w:rsid w:val="000A631F"/>
    <w:rsid w:val="000A76AE"/>
    <w:rsid w:val="000A788B"/>
    <w:rsid w:val="000B469B"/>
    <w:rsid w:val="000B4C7E"/>
    <w:rsid w:val="000C2553"/>
    <w:rsid w:val="000C7807"/>
    <w:rsid w:val="000C7C67"/>
    <w:rsid w:val="000C7D6F"/>
    <w:rsid w:val="000E06B1"/>
    <w:rsid w:val="000E1F3F"/>
    <w:rsid w:val="000E1F79"/>
    <w:rsid w:val="000E36AD"/>
    <w:rsid w:val="000E3DA5"/>
    <w:rsid w:val="000F16C3"/>
    <w:rsid w:val="000F2E4F"/>
    <w:rsid w:val="000F3D7A"/>
    <w:rsid w:val="000F5A54"/>
    <w:rsid w:val="000F66F0"/>
    <w:rsid w:val="000F70D3"/>
    <w:rsid w:val="00100DAA"/>
    <w:rsid w:val="001022E9"/>
    <w:rsid w:val="00104212"/>
    <w:rsid w:val="00105F6E"/>
    <w:rsid w:val="001133B9"/>
    <w:rsid w:val="00113FBC"/>
    <w:rsid w:val="00120573"/>
    <w:rsid w:val="00120BDC"/>
    <w:rsid w:val="00121145"/>
    <w:rsid w:val="00121479"/>
    <w:rsid w:val="00122E0F"/>
    <w:rsid w:val="00123405"/>
    <w:rsid w:val="001235EF"/>
    <w:rsid w:val="00123A41"/>
    <w:rsid w:val="00124014"/>
    <w:rsid w:val="001241B7"/>
    <w:rsid w:val="001301A8"/>
    <w:rsid w:val="00132051"/>
    <w:rsid w:val="00132F0A"/>
    <w:rsid w:val="00132F7B"/>
    <w:rsid w:val="001347C3"/>
    <w:rsid w:val="00134D3B"/>
    <w:rsid w:val="00135358"/>
    <w:rsid w:val="001415D9"/>
    <w:rsid w:val="00145995"/>
    <w:rsid w:val="001468B4"/>
    <w:rsid w:val="0015021F"/>
    <w:rsid w:val="00152181"/>
    <w:rsid w:val="001537F7"/>
    <w:rsid w:val="00154D98"/>
    <w:rsid w:val="00156489"/>
    <w:rsid w:val="00156FC8"/>
    <w:rsid w:val="00157295"/>
    <w:rsid w:val="00164EE6"/>
    <w:rsid w:val="00166FC7"/>
    <w:rsid w:val="00167285"/>
    <w:rsid w:val="00170E99"/>
    <w:rsid w:val="001763A7"/>
    <w:rsid w:val="00176713"/>
    <w:rsid w:val="00180ACC"/>
    <w:rsid w:val="0018193B"/>
    <w:rsid w:val="001819B6"/>
    <w:rsid w:val="00181E8D"/>
    <w:rsid w:val="001832D5"/>
    <w:rsid w:val="00183627"/>
    <w:rsid w:val="00183DFA"/>
    <w:rsid w:val="001848E9"/>
    <w:rsid w:val="00184920"/>
    <w:rsid w:val="0018502C"/>
    <w:rsid w:val="00185AFA"/>
    <w:rsid w:val="00186049"/>
    <w:rsid w:val="001863F1"/>
    <w:rsid w:val="00187FB8"/>
    <w:rsid w:val="00194F50"/>
    <w:rsid w:val="001959A7"/>
    <w:rsid w:val="00196B9E"/>
    <w:rsid w:val="001A1C29"/>
    <w:rsid w:val="001A2CBC"/>
    <w:rsid w:val="001A3205"/>
    <w:rsid w:val="001A6445"/>
    <w:rsid w:val="001A6800"/>
    <w:rsid w:val="001A6924"/>
    <w:rsid w:val="001B06AF"/>
    <w:rsid w:val="001B0D6F"/>
    <w:rsid w:val="001B50EE"/>
    <w:rsid w:val="001B51D3"/>
    <w:rsid w:val="001B6B38"/>
    <w:rsid w:val="001B70C7"/>
    <w:rsid w:val="001B7DCD"/>
    <w:rsid w:val="001C14F7"/>
    <w:rsid w:val="001C779B"/>
    <w:rsid w:val="001D187B"/>
    <w:rsid w:val="001D6339"/>
    <w:rsid w:val="001D68BF"/>
    <w:rsid w:val="001E1C50"/>
    <w:rsid w:val="001E3F22"/>
    <w:rsid w:val="001E5503"/>
    <w:rsid w:val="001E7FDE"/>
    <w:rsid w:val="001F02B0"/>
    <w:rsid w:val="001F1549"/>
    <w:rsid w:val="001F2DA4"/>
    <w:rsid w:val="001F4C9E"/>
    <w:rsid w:val="001F4DDA"/>
    <w:rsid w:val="002007CB"/>
    <w:rsid w:val="00200E66"/>
    <w:rsid w:val="0020190A"/>
    <w:rsid w:val="0020289D"/>
    <w:rsid w:val="00204D08"/>
    <w:rsid w:val="002076EF"/>
    <w:rsid w:val="00210E4B"/>
    <w:rsid w:val="0021102E"/>
    <w:rsid w:val="0021250C"/>
    <w:rsid w:val="0021273B"/>
    <w:rsid w:val="00222A82"/>
    <w:rsid w:val="00223561"/>
    <w:rsid w:val="002251E1"/>
    <w:rsid w:val="00225A29"/>
    <w:rsid w:val="002277D7"/>
    <w:rsid w:val="0023393B"/>
    <w:rsid w:val="00235485"/>
    <w:rsid w:val="002355D1"/>
    <w:rsid w:val="0023574D"/>
    <w:rsid w:val="00235EFD"/>
    <w:rsid w:val="0023651E"/>
    <w:rsid w:val="00236D66"/>
    <w:rsid w:val="00241222"/>
    <w:rsid w:val="002435E7"/>
    <w:rsid w:val="00243DF2"/>
    <w:rsid w:val="00245F46"/>
    <w:rsid w:val="0024792B"/>
    <w:rsid w:val="002517EE"/>
    <w:rsid w:val="002519A6"/>
    <w:rsid w:val="00252B2A"/>
    <w:rsid w:val="00253EF6"/>
    <w:rsid w:val="00255B85"/>
    <w:rsid w:val="002567F0"/>
    <w:rsid w:val="00257737"/>
    <w:rsid w:val="00257D68"/>
    <w:rsid w:val="00266AEB"/>
    <w:rsid w:val="00274F96"/>
    <w:rsid w:val="00275B2F"/>
    <w:rsid w:val="0027602E"/>
    <w:rsid w:val="00276270"/>
    <w:rsid w:val="0028046C"/>
    <w:rsid w:val="0028731E"/>
    <w:rsid w:val="002943C9"/>
    <w:rsid w:val="002945E8"/>
    <w:rsid w:val="00294F3F"/>
    <w:rsid w:val="00296DB0"/>
    <w:rsid w:val="002A3E84"/>
    <w:rsid w:val="002A43C1"/>
    <w:rsid w:val="002A7412"/>
    <w:rsid w:val="002B00CC"/>
    <w:rsid w:val="002B024D"/>
    <w:rsid w:val="002B0CD0"/>
    <w:rsid w:val="002B2E9A"/>
    <w:rsid w:val="002B6F2A"/>
    <w:rsid w:val="002C0F59"/>
    <w:rsid w:val="002C1558"/>
    <w:rsid w:val="002C2ACF"/>
    <w:rsid w:val="002C39BF"/>
    <w:rsid w:val="002C3C7C"/>
    <w:rsid w:val="002C6F5A"/>
    <w:rsid w:val="002D3D25"/>
    <w:rsid w:val="002D58AC"/>
    <w:rsid w:val="002E0A88"/>
    <w:rsid w:val="002E3102"/>
    <w:rsid w:val="002E37CC"/>
    <w:rsid w:val="002E71FD"/>
    <w:rsid w:val="002F1959"/>
    <w:rsid w:val="002F1A8B"/>
    <w:rsid w:val="002F3E70"/>
    <w:rsid w:val="002F61D4"/>
    <w:rsid w:val="00302B06"/>
    <w:rsid w:val="003034EE"/>
    <w:rsid w:val="003042FE"/>
    <w:rsid w:val="00304496"/>
    <w:rsid w:val="003046C6"/>
    <w:rsid w:val="00305016"/>
    <w:rsid w:val="00306250"/>
    <w:rsid w:val="003078E2"/>
    <w:rsid w:val="0031425E"/>
    <w:rsid w:val="00314348"/>
    <w:rsid w:val="003146FA"/>
    <w:rsid w:val="00314CCC"/>
    <w:rsid w:val="0031503A"/>
    <w:rsid w:val="00315D32"/>
    <w:rsid w:val="0031606C"/>
    <w:rsid w:val="003167AA"/>
    <w:rsid w:val="00316A31"/>
    <w:rsid w:val="003170AB"/>
    <w:rsid w:val="00321A72"/>
    <w:rsid w:val="00321FDA"/>
    <w:rsid w:val="00322561"/>
    <w:rsid w:val="003245EF"/>
    <w:rsid w:val="003256C9"/>
    <w:rsid w:val="00331369"/>
    <w:rsid w:val="00331969"/>
    <w:rsid w:val="00333B2A"/>
    <w:rsid w:val="00334A33"/>
    <w:rsid w:val="00335639"/>
    <w:rsid w:val="003373C9"/>
    <w:rsid w:val="00340701"/>
    <w:rsid w:val="00341AA9"/>
    <w:rsid w:val="0034283F"/>
    <w:rsid w:val="00342BBE"/>
    <w:rsid w:val="003456E8"/>
    <w:rsid w:val="003568DA"/>
    <w:rsid w:val="00363237"/>
    <w:rsid w:val="00364035"/>
    <w:rsid w:val="00364F79"/>
    <w:rsid w:val="0036657B"/>
    <w:rsid w:val="0036663B"/>
    <w:rsid w:val="0036690E"/>
    <w:rsid w:val="003675B2"/>
    <w:rsid w:val="003713BD"/>
    <w:rsid w:val="00371582"/>
    <w:rsid w:val="00372F5F"/>
    <w:rsid w:val="0037461F"/>
    <w:rsid w:val="00380377"/>
    <w:rsid w:val="00383E31"/>
    <w:rsid w:val="00386743"/>
    <w:rsid w:val="00387A9E"/>
    <w:rsid w:val="00391D65"/>
    <w:rsid w:val="00393A41"/>
    <w:rsid w:val="0039493D"/>
    <w:rsid w:val="0039510C"/>
    <w:rsid w:val="003A1EC8"/>
    <w:rsid w:val="003A2BBB"/>
    <w:rsid w:val="003A533C"/>
    <w:rsid w:val="003A5708"/>
    <w:rsid w:val="003A58A6"/>
    <w:rsid w:val="003A5AA4"/>
    <w:rsid w:val="003A778E"/>
    <w:rsid w:val="003B202C"/>
    <w:rsid w:val="003B26D7"/>
    <w:rsid w:val="003B30C1"/>
    <w:rsid w:val="003B56BC"/>
    <w:rsid w:val="003B69EC"/>
    <w:rsid w:val="003B7F62"/>
    <w:rsid w:val="003C05C9"/>
    <w:rsid w:val="003C0981"/>
    <w:rsid w:val="003C0DD3"/>
    <w:rsid w:val="003C41F8"/>
    <w:rsid w:val="003C424B"/>
    <w:rsid w:val="003C51A8"/>
    <w:rsid w:val="003C5404"/>
    <w:rsid w:val="003C5908"/>
    <w:rsid w:val="003C6FAB"/>
    <w:rsid w:val="003C76EE"/>
    <w:rsid w:val="003C7E79"/>
    <w:rsid w:val="003D127A"/>
    <w:rsid w:val="003D21FB"/>
    <w:rsid w:val="003D28F6"/>
    <w:rsid w:val="003D3916"/>
    <w:rsid w:val="003D4E72"/>
    <w:rsid w:val="003D61A2"/>
    <w:rsid w:val="003D66B4"/>
    <w:rsid w:val="003D77AE"/>
    <w:rsid w:val="003D78C8"/>
    <w:rsid w:val="003E132E"/>
    <w:rsid w:val="003E1E2A"/>
    <w:rsid w:val="003E24FF"/>
    <w:rsid w:val="003E5D1A"/>
    <w:rsid w:val="003E60D5"/>
    <w:rsid w:val="003E60E3"/>
    <w:rsid w:val="003F2793"/>
    <w:rsid w:val="003F5F7D"/>
    <w:rsid w:val="003F7D9C"/>
    <w:rsid w:val="0040187C"/>
    <w:rsid w:val="00401D11"/>
    <w:rsid w:val="00405E66"/>
    <w:rsid w:val="00406318"/>
    <w:rsid w:val="00411320"/>
    <w:rsid w:val="004119FD"/>
    <w:rsid w:val="00412CB7"/>
    <w:rsid w:val="00414E1F"/>
    <w:rsid w:val="004201B8"/>
    <w:rsid w:val="004208EC"/>
    <w:rsid w:val="00424F8E"/>
    <w:rsid w:val="00425F0E"/>
    <w:rsid w:val="00426C43"/>
    <w:rsid w:val="00431C50"/>
    <w:rsid w:val="004328F8"/>
    <w:rsid w:val="004335E1"/>
    <w:rsid w:val="004349E2"/>
    <w:rsid w:val="00435370"/>
    <w:rsid w:val="00441814"/>
    <w:rsid w:val="004419F0"/>
    <w:rsid w:val="00444E17"/>
    <w:rsid w:val="004456DE"/>
    <w:rsid w:val="004507EB"/>
    <w:rsid w:val="0045122F"/>
    <w:rsid w:val="004521A6"/>
    <w:rsid w:val="00452B7D"/>
    <w:rsid w:val="004534F9"/>
    <w:rsid w:val="004545AB"/>
    <w:rsid w:val="00455F18"/>
    <w:rsid w:val="00456B00"/>
    <w:rsid w:val="0046148E"/>
    <w:rsid w:val="00462F63"/>
    <w:rsid w:val="00466917"/>
    <w:rsid w:val="0047109A"/>
    <w:rsid w:val="00471C13"/>
    <w:rsid w:val="00473DF5"/>
    <w:rsid w:val="004747C1"/>
    <w:rsid w:val="00475EC8"/>
    <w:rsid w:val="004766B3"/>
    <w:rsid w:val="00477549"/>
    <w:rsid w:val="00477D9E"/>
    <w:rsid w:val="00480BB6"/>
    <w:rsid w:val="00483003"/>
    <w:rsid w:val="00486BC8"/>
    <w:rsid w:val="00490AEF"/>
    <w:rsid w:val="00490BAB"/>
    <w:rsid w:val="00490E4F"/>
    <w:rsid w:val="00494B0F"/>
    <w:rsid w:val="004955DB"/>
    <w:rsid w:val="0049612F"/>
    <w:rsid w:val="004A09CC"/>
    <w:rsid w:val="004A135A"/>
    <w:rsid w:val="004A43BF"/>
    <w:rsid w:val="004A4DA6"/>
    <w:rsid w:val="004A53FE"/>
    <w:rsid w:val="004A7C82"/>
    <w:rsid w:val="004A7CCA"/>
    <w:rsid w:val="004B1065"/>
    <w:rsid w:val="004B1641"/>
    <w:rsid w:val="004B1AD1"/>
    <w:rsid w:val="004B315E"/>
    <w:rsid w:val="004B597E"/>
    <w:rsid w:val="004B71F7"/>
    <w:rsid w:val="004C0469"/>
    <w:rsid w:val="004C59A6"/>
    <w:rsid w:val="004D166F"/>
    <w:rsid w:val="004D1E59"/>
    <w:rsid w:val="004D244E"/>
    <w:rsid w:val="004D31AF"/>
    <w:rsid w:val="004D55CD"/>
    <w:rsid w:val="004D65AF"/>
    <w:rsid w:val="004D7A6B"/>
    <w:rsid w:val="004E1B6B"/>
    <w:rsid w:val="004E43FB"/>
    <w:rsid w:val="004E5AE2"/>
    <w:rsid w:val="004E70F6"/>
    <w:rsid w:val="004F2410"/>
    <w:rsid w:val="004F2990"/>
    <w:rsid w:val="004F39E8"/>
    <w:rsid w:val="004F4FB3"/>
    <w:rsid w:val="004F7C81"/>
    <w:rsid w:val="00510322"/>
    <w:rsid w:val="00511678"/>
    <w:rsid w:val="005117CA"/>
    <w:rsid w:val="005131BA"/>
    <w:rsid w:val="0051438A"/>
    <w:rsid w:val="0051719B"/>
    <w:rsid w:val="005209B4"/>
    <w:rsid w:val="00522B41"/>
    <w:rsid w:val="005239FD"/>
    <w:rsid w:val="00523CEA"/>
    <w:rsid w:val="005245F0"/>
    <w:rsid w:val="00525585"/>
    <w:rsid w:val="00525E6E"/>
    <w:rsid w:val="005266EA"/>
    <w:rsid w:val="0052758D"/>
    <w:rsid w:val="00527802"/>
    <w:rsid w:val="00527B38"/>
    <w:rsid w:val="00530B4A"/>
    <w:rsid w:val="00533589"/>
    <w:rsid w:val="00535D49"/>
    <w:rsid w:val="00536E2A"/>
    <w:rsid w:val="005405A4"/>
    <w:rsid w:val="00540769"/>
    <w:rsid w:val="005408CD"/>
    <w:rsid w:val="0054185E"/>
    <w:rsid w:val="005428CC"/>
    <w:rsid w:val="00542C01"/>
    <w:rsid w:val="00543B0F"/>
    <w:rsid w:val="0054446B"/>
    <w:rsid w:val="00545AB8"/>
    <w:rsid w:val="00552826"/>
    <w:rsid w:val="00552924"/>
    <w:rsid w:val="005541AF"/>
    <w:rsid w:val="0055527A"/>
    <w:rsid w:val="00556109"/>
    <w:rsid w:val="0056229E"/>
    <w:rsid w:val="0056409C"/>
    <w:rsid w:val="00564BB0"/>
    <w:rsid w:val="005664EF"/>
    <w:rsid w:val="005677DF"/>
    <w:rsid w:val="00567B9C"/>
    <w:rsid w:val="00572543"/>
    <w:rsid w:val="00572D21"/>
    <w:rsid w:val="00575057"/>
    <w:rsid w:val="005756EC"/>
    <w:rsid w:val="00575A91"/>
    <w:rsid w:val="00576E09"/>
    <w:rsid w:val="005777CF"/>
    <w:rsid w:val="005803EF"/>
    <w:rsid w:val="0058071E"/>
    <w:rsid w:val="005824DB"/>
    <w:rsid w:val="005866E7"/>
    <w:rsid w:val="00586B08"/>
    <w:rsid w:val="00586ECB"/>
    <w:rsid w:val="00590216"/>
    <w:rsid w:val="00594CE5"/>
    <w:rsid w:val="00595546"/>
    <w:rsid w:val="00596625"/>
    <w:rsid w:val="005A2857"/>
    <w:rsid w:val="005A6457"/>
    <w:rsid w:val="005A6C4D"/>
    <w:rsid w:val="005A792D"/>
    <w:rsid w:val="005B044B"/>
    <w:rsid w:val="005B19E9"/>
    <w:rsid w:val="005B254F"/>
    <w:rsid w:val="005B3ABC"/>
    <w:rsid w:val="005B3CB9"/>
    <w:rsid w:val="005B507B"/>
    <w:rsid w:val="005B5C23"/>
    <w:rsid w:val="005C2C54"/>
    <w:rsid w:val="005C33ED"/>
    <w:rsid w:val="005C67A0"/>
    <w:rsid w:val="005D2FD6"/>
    <w:rsid w:val="005D311B"/>
    <w:rsid w:val="005D5073"/>
    <w:rsid w:val="005D6325"/>
    <w:rsid w:val="005D69C3"/>
    <w:rsid w:val="005E12ED"/>
    <w:rsid w:val="005E1D2E"/>
    <w:rsid w:val="005E2393"/>
    <w:rsid w:val="005E3B96"/>
    <w:rsid w:val="005E4720"/>
    <w:rsid w:val="005E68F6"/>
    <w:rsid w:val="005E70A9"/>
    <w:rsid w:val="005F1835"/>
    <w:rsid w:val="005F23D8"/>
    <w:rsid w:val="005F24BA"/>
    <w:rsid w:val="005F4314"/>
    <w:rsid w:val="005F4D1E"/>
    <w:rsid w:val="005F564C"/>
    <w:rsid w:val="005F5F4F"/>
    <w:rsid w:val="005F6AF9"/>
    <w:rsid w:val="0060034A"/>
    <w:rsid w:val="00600425"/>
    <w:rsid w:val="0060561D"/>
    <w:rsid w:val="00610776"/>
    <w:rsid w:val="00611E2B"/>
    <w:rsid w:val="00612B9A"/>
    <w:rsid w:val="00613CDE"/>
    <w:rsid w:val="00617383"/>
    <w:rsid w:val="0062383C"/>
    <w:rsid w:val="00624AEA"/>
    <w:rsid w:val="006256BB"/>
    <w:rsid w:val="0062641C"/>
    <w:rsid w:val="00626950"/>
    <w:rsid w:val="00626DB8"/>
    <w:rsid w:val="00631841"/>
    <w:rsid w:val="00631E0A"/>
    <w:rsid w:val="00635FC5"/>
    <w:rsid w:val="006363D4"/>
    <w:rsid w:val="00636EED"/>
    <w:rsid w:val="00640F22"/>
    <w:rsid w:val="00641564"/>
    <w:rsid w:val="0064705A"/>
    <w:rsid w:val="00652DDA"/>
    <w:rsid w:val="006536C2"/>
    <w:rsid w:val="00654B5D"/>
    <w:rsid w:val="0065655F"/>
    <w:rsid w:val="00662B97"/>
    <w:rsid w:val="0066312D"/>
    <w:rsid w:val="006666CB"/>
    <w:rsid w:val="00667392"/>
    <w:rsid w:val="00673599"/>
    <w:rsid w:val="006749E7"/>
    <w:rsid w:val="006764EB"/>
    <w:rsid w:val="00680A7D"/>
    <w:rsid w:val="00681498"/>
    <w:rsid w:val="00681AB0"/>
    <w:rsid w:val="00685959"/>
    <w:rsid w:val="0068776B"/>
    <w:rsid w:val="00691B39"/>
    <w:rsid w:val="00695E72"/>
    <w:rsid w:val="0069696C"/>
    <w:rsid w:val="00696F35"/>
    <w:rsid w:val="006A0596"/>
    <w:rsid w:val="006A1303"/>
    <w:rsid w:val="006A180B"/>
    <w:rsid w:val="006A1838"/>
    <w:rsid w:val="006A3751"/>
    <w:rsid w:val="006A40CB"/>
    <w:rsid w:val="006A6D2B"/>
    <w:rsid w:val="006B0E64"/>
    <w:rsid w:val="006B1064"/>
    <w:rsid w:val="006B271E"/>
    <w:rsid w:val="006B2737"/>
    <w:rsid w:val="006B2FBA"/>
    <w:rsid w:val="006C0B65"/>
    <w:rsid w:val="006C1A0A"/>
    <w:rsid w:val="006C41F1"/>
    <w:rsid w:val="006C52F7"/>
    <w:rsid w:val="006C5E58"/>
    <w:rsid w:val="006C68C8"/>
    <w:rsid w:val="006D1A2A"/>
    <w:rsid w:val="006D2006"/>
    <w:rsid w:val="006D44FA"/>
    <w:rsid w:val="006D4D08"/>
    <w:rsid w:val="006E1AC8"/>
    <w:rsid w:val="006E2789"/>
    <w:rsid w:val="006E3866"/>
    <w:rsid w:val="006E4A55"/>
    <w:rsid w:val="006E5A55"/>
    <w:rsid w:val="006E71A6"/>
    <w:rsid w:val="006E78B7"/>
    <w:rsid w:val="006F17CD"/>
    <w:rsid w:val="006F1A2C"/>
    <w:rsid w:val="006F2327"/>
    <w:rsid w:val="006F28A2"/>
    <w:rsid w:val="006F4290"/>
    <w:rsid w:val="006F61F8"/>
    <w:rsid w:val="006F68CB"/>
    <w:rsid w:val="007004B8"/>
    <w:rsid w:val="0070113E"/>
    <w:rsid w:val="00703387"/>
    <w:rsid w:val="00703BC8"/>
    <w:rsid w:val="00703C69"/>
    <w:rsid w:val="0071069E"/>
    <w:rsid w:val="007118BD"/>
    <w:rsid w:val="007128CF"/>
    <w:rsid w:val="00712B79"/>
    <w:rsid w:val="00713A3A"/>
    <w:rsid w:val="00714790"/>
    <w:rsid w:val="007156BC"/>
    <w:rsid w:val="0072135F"/>
    <w:rsid w:val="007216E5"/>
    <w:rsid w:val="007235ED"/>
    <w:rsid w:val="00723A2E"/>
    <w:rsid w:val="00725E87"/>
    <w:rsid w:val="00727CBF"/>
    <w:rsid w:val="00730661"/>
    <w:rsid w:val="00730D2F"/>
    <w:rsid w:val="007310F4"/>
    <w:rsid w:val="00731117"/>
    <w:rsid w:val="00731871"/>
    <w:rsid w:val="0073372C"/>
    <w:rsid w:val="00733889"/>
    <w:rsid w:val="00735281"/>
    <w:rsid w:val="00744204"/>
    <w:rsid w:val="007448B5"/>
    <w:rsid w:val="00751663"/>
    <w:rsid w:val="00753183"/>
    <w:rsid w:val="00753F89"/>
    <w:rsid w:val="00754997"/>
    <w:rsid w:val="00754C35"/>
    <w:rsid w:val="0075655F"/>
    <w:rsid w:val="00756AA5"/>
    <w:rsid w:val="007577EB"/>
    <w:rsid w:val="00760690"/>
    <w:rsid w:val="007609E4"/>
    <w:rsid w:val="00761596"/>
    <w:rsid w:val="00764ECF"/>
    <w:rsid w:val="00767BA0"/>
    <w:rsid w:val="00767DBD"/>
    <w:rsid w:val="00770F15"/>
    <w:rsid w:val="00772ACF"/>
    <w:rsid w:val="007748EF"/>
    <w:rsid w:val="00775EBB"/>
    <w:rsid w:val="007762C4"/>
    <w:rsid w:val="00777338"/>
    <w:rsid w:val="00777D90"/>
    <w:rsid w:val="0078031A"/>
    <w:rsid w:val="00780A7D"/>
    <w:rsid w:val="00781029"/>
    <w:rsid w:val="0078222D"/>
    <w:rsid w:val="00785445"/>
    <w:rsid w:val="00787334"/>
    <w:rsid w:val="007911AD"/>
    <w:rsid w:val="007914BB"/>
    <w:rsid w:val="00791802"/>
    <w:rsid w:val="00792817"/>
    <w:rsid w:val="00792CEF"/>
    <w:rsid w:val="00793797"/>
    <w:rsid w:val="00793F24"/>
    <w:rsid w:val="0079763A"/>
    <w:rsid w:val="007A049E"/>
    <w:rsid w:val="007A0762"/>
    <w:rsid w:val="007B10F1"/>
    <w:rsid w:val="007B2C2A"/>
    <w:rsid w:val="007B3E14"/>
    <w:rsid w:val="007B49E0"/>
    <w:rsid w:val="007B4F5E"/>
    <w:rsid w:val="007B5471"/>
    <w:rsid w:val="007B690C"/>
    <w:rsid w:val="007B7828"/>
    <w:rsid w:val="007C0158"/>
    <w:rsid w:val="007C0B26"/>
    <w:rsid w:val="007C1901"/>
    <w:rsid w:val="007C2AE6"/>
    <w:rsid w:val="007C2DE3"/>
    <w:rsid w:val="007C44A4"/>
    <w:rsid w:val="007C5E15"/>
    <w:rsid w:val="007D1684"/>
    <w:rsid w:val="007D1807"/>
    <w:rsid w:val="007D21C9"/>
    <w:rsid w:val="007D2ADD"/>
    <w:rsid w:val="007D4DCA"/>
    <w:rsid w:val="007D6D8B"/>
    <w:rsid w:val="007E04CF"/>
    <w:rsid w:val="007E1D21"/>
    <w:rsid w:val="007E2973"/>
    <w:rsid w:val="007E29B6"/>
    <w:rsid w:val="007E3684"/>
    <w:rsid w:val="007E3A8B"/>
    <w:rsid w:val="007E4663"/>
    <w:rsid w:val="007E51BB"/>
    <w:rsid w:val="007E54AD"/>
    <w:rsid w:val="007E7EAE"/>
    <w:rsid w:val="007E7EF9"/>
    <w:rsid w:val="007F01F3"/>
    <w:rsid w:val="007F0C3B"/>
    <w:rsid w:val="007F528E"/>
    <w:rsid w:val="00800B7B"/>
    <w:rsid w:val="00801A7A"/>
    <w:rsid w:val="0080473E"/>
    <w:rsid w:val="00805C66"/>
    <w:rsid w:val="0081015F"/>
    <w:rsid w:val="008109F5"/>
    <w:rsid w:val="008118B7"/>
    <w:rsid w:val="00813316"/>
    <w:rsid w:val="0081554F"/>
    <w:rsid w:val="0081657F"/>
    <w:rsid w:val="00816B0B"/>
    <w:rsid w:val="0082112D"/>
    <w:rsid w:val="0082206A"/>
    <w:rsid w:val="00823463"/>
    <w:rsid w:val="00825BF9"/>
    <w:rsid w:val="00825CBE"/>
    <w:rsid w:val="00825FF4"/>
    <w:rsid w:val="00832702"/>
    <w:rsid w:val="00832C34"/>
    <w:rsid w:val="00835413"/>
    <w:rsid w:val="00835662"/>
    <w:rsid w:val="00836A36"/>
    <w:rsid w:val="00843704"/>
    <w:rsid w:val="008445F3"/>
    <w:rsid w:val="00845D47"/>
    <w:rsid w:val="00850485"/>
    <w:rsid w:val="00851A82"/>
    <w:rsid w:val="00853AE6"/>
    <w:rsid w:val="00854E1B"/>
    <w:rsid w:val="0085673B"/>
    <w:rsid w:val="008578CB"/>
    <w:rsid w:val="00861415"/>
    <w:rsid w:val="00861B6B"/>
    <w:rsid w:val="0086253C"/>
    <w:rsid w:val="00862AC8"/>
    <w:rsid w:val="00862EB8"/>
    <w:rsid w:val="00864523"/>
    <w:rsid w:val="00864A16"/>
    <w:rsid w:val="00866094"/>
    <w:rsid w:val="00866276"/>
    <w:rsid w:val="00867AE9"/>
    <w:rsid w:val="00871C8D"/>
    <w:rsid w:val="00873642"/>
    <w:rsid w:val="00874D59"/>
    <w:rsid w:val="00875351"/>
    <w:rsid w:val="008758C2"/>
    <w:rsid w:val="00877E19"/>
    <w:rsid w:val="00880F3C"/>
    <w:rsid w:val="0088122D"/>
    <w:rsid w:val="00881D5D"/>
    <w:rsid w:val="0088341C"/>
    <w:rsid w:val="00883F2D"/>
    <w:rsid w:val="008842E5"/>
    <w:rsid w:val="0088445C"/>
    <w:rsid w:val="008862EF"/>
    <w:rsid w:val="0088739E"/>
    <w:rsid w:val="008A2D72"/>
    <w:rsid w:val="008A51D4"/>
    <w:rsid w:val="008A5292"/>
    <w:rsid w:val="008A66F6"/>
    <w:rsid w:val="008A6DD2"/>
    <w:rsid w:val="008A77DA"/>
    <w:rsid w:val="008B1675"/>
    <w:rsid w:val="008B1B4C"/>
    <w:rsid w:val="008B1BFB"/>
    <w:rsid w:val="008B52D0"/>
    <w:rsid w:val="008B74DA"/>
    <w:rsid w:val="008C269F"/>
    <w:rsid w:val="008C4B90"/>
    <w:rsid w:val="008C4EB6"/>
    <w:rsid w:val="008C6125"/>
    <w:rsid w:val="008C6775"/>
    <w:rsid w:val="008D20A3"/>
    <w:rsid w:val="008D45BD"/>
    <w:rsid w:val="008D5274"/>
    <w:rsid w:val="008E1380"/>
    <w:rsid w:val="008E39B0"/>
    <w:rsid w:val="008E4BB9"/>
    <w:rsid w:val="008E7393"/>
    <w:rsid w:val="008E7BFB"/>
    <w:rsid w:val="008F6567"/>
    <w:rsid w:val="008F7131"/>
    <w:rsid w:val="0090295B"/>
    <w:rsid w:val="009039F4"/>
    <w:rsid w:val="00903DFF"/>
    <w:rsid w:val="00905406"/>
    <w:rsid w:val="00905A5F"/>
    <w:rsid w:val="00905A63"/>
    <w:rsid w:val="00905C64"/>
    <w:rsid w:val="0091059D"/>
    <w:rsid w:val="0091085C"/>
    <w:rsid w:val="00911DD8"/>
    <w:rsid w:val="00916C5F"/>
    <w:rsid w:val="00916F12"/>
    <w:rsid w:val="00923091"/>
    <w:rsid w:val="009230DF"/>
    <w:rsid w:val="00924DE8"/>
    <w:rsid w:val="00925A91"/>
    <w:rsid w:val="00925F8A"/>
    <w:rsid w:val="0093096C"/>
    <w:rsid w:val="009328B4"/>
    <w:rsid w:val="0093306C"/>
    <w:rsid w:val="009331DC"/>
    <w:rsid w:val="0093381E"/>
    <w:rsid w:val="00933FC4"/>
    <w:rsid w:val="00934651"/>
    <w:rsid w:val="00941319"/>
    <w:rsid w:val="009427C9"/>
    <w:rsid w:val="00942C73"/>
    <w:rsid w:val="00944F30"/>
    <w:rsid w:val="00951E73"/>
    <w:rsid w:val="0095221C"/>
    <w:rsid w:val="00956BB4"/>
    <w:rsid w:val="00957500"/>
    <w:rsid w:val="0095779B"/>
    <w:rsid w:val="009620B3"/>
    <w:rsid w:val="0096274A"/>
    <w:rsid w:val="009629CD"/>
    <w:rsid w:val="00964184"/>
    <w:rsid w:val="00964250"/>
    <w:rsid w:val="00970221"/>
    <w:rsid w:val="009704A1"/>
    <w:rsid w:val="009720A5"/>
    <w:rsid w:val="00973027"/>
    <w:rsid w:val="0097310B"/>
    <w:rsid w:val="009748E4"/>
    <w:rsid w:val="00974B0E"/>
    <w:rsid w:val="009755AE"/>
    <w:rsid w:val="00976ACD"/>
    <w:rsid w:val="0098160A"/>
    <w:rsid w:val="009831DC"/>
    <w:rsid w:val="0098430E"/>
    <w:rsid w:val="009846C5"/>
    <w:rsid w:val="00985540"/>
    <w:rsid w:val="009868EB"/>
    <w:rsid w:val="00992285"/>
    <w:rsid w:val="009933E4"/>
    <w:rsid w:val="00993861"/>
    <w:rsid w:val="0099742C"/>
    <w:rsid w:val="009975E4"/>
    <w:rsid w:val="009A2747"/>
    <w:rsid w:val="009A2F11"/>
    <w:rsid w:val="009A3FAA"/>
    <w:rsid w:val="009A505A"/>
    <w:rsid w:val="009A58F8"/>
    <w:rsid w:val="009A6535"/>
    <w:rsid w:val="009A7F7D"/>
    <w:rsid w:val="009B04CF"/>
    <w:rsid w:val="009B16D7"/>
    <w:rsid w:val="009B4792"/>
    <w:rsid w:val="009B48E0"/>
    <w:rsid w:val="009B61AA"/>
    <w:rsid w:val="009B6204"/>
    <w:rsid w:val="009B643D"/>
    <w:rsid w:val="009C0A81"/>
    <w:rsid w:val="009C0F54"/>
    <w:rsid w:val="009C15D0"/>
    <w:rsid w:val="009C25F6"/>
    <w:rsid w:val="009C2EF3"/>
    <w:rsid w:val="009C5270"/>
    <w:rsid w:val="009C573C"/>
    <w:rsid w:val="009C5A88"/>
    <w:rsid w:val="009C7AE8"/>
    <w:rsid w:val="009D0EE4"/>
    <w:rsid w:val="009D1A48"/>
    <w:rsid w:val="009D2B28"/>
    <w:rsid w:val="009D2F34"/>
    <w:rsid w:val="009D3BBC"/>
    <w:rsid w:val="009D56C4"/>
    <w:rsid w:val="009D68D5"/>
    <w:rsid w:val="009D7830"/>
    <w:rsid w:val="009E2412"/>
    <w:rsid w:val="009E28B8"/>
    <w:rsid w:val="009E4AF4"/>
    <w:rsid w:val="009E6687"/>
    <w:rsid w:val="009F04B8"/>
    <w:rsid w:val="009F2082"/>
    <w:rsid w:val="009F2287"/>
    <w:rsid w:val="009F33D5"/>
    <w:rsid w:val="009F6A38"/>
    <w:rsid w:val="009F7A57"/>
    <w:rsid w:val="00A01D65"/>
    <w:rsid w:val="00A0555F"/>
    <w:rsid w:val="00A058F0"/>
    <w:rsid w:val="00A05B69"/>
    <w:rsid w:val="00A10391"/>
    <w:rsid w:val="00A10A64"/>
    <w:rsid w:val="00A11387"/>
    <w:rsid w:val="00A12AFA"/>
    <w:rsid w:val="00A12CCF"/>
    <w:rsid w:val="00A12EEA"/>
    <w:rsid w:val="00A139B0"/>
    <w:rsid w:val="00A14596"/>
    <w:rsid w:val="00A1490C"/>
    <w:rsid w:val="00A14C8D"/>
    <w:rsid w:val="00A15D45"/>
    <w:rsid w:val="00A230E8"/>
    <w:rsid w:val="00A279D5"/>
    <w:rsid w:val="00A31F3B"/>
    <w:rsid w:val="00A34476"/>
    <w:rsid w:val="00A34C21"/>
    <w:rsid w:val="00A37B89"/>
    <w:rsid w:val="00A41048"/>
    <w:rsid w:val="00A41A68"/>
    <w:rsid w:val="00A433DF"/>
    <w:rsid w:val="00A45E6D"/>
    <w:rsid w:val="00A46239"/>
    <w:rsid w:val="00A4646C"/>
    <w:rsid w:val="00A47BF6"/>
    <w:rsid w:val="00A51A20"/>
    <w:rsid w:val="00A520A3"/>
    <w:rsid w:val="00A52866"/>
    <w:rsid w:val="00A5342F"/>
    <w:rsid w:val="00A56E40"/>
    <w:rsid w:val="00A574D2"/>
    <w:rsid w:val="00A60052"/>
    <w:rsid w:val="00A60CAF"/>
    <w:rsid w:val="00A61172"/>
    <w:rsid w:val="00A62422"/>
    <w:rsid w:val="00A6546A"/>
    <w:rsid w:val="00A70AB6"/>
    <w:rsid w:val="00A72096"/>
    <w:rsid w:val="00A76218"/>
    <w:rsid w:val="00A76C1C"/>
    <w:rsid w:val="00A81AE7"/>
    <w:rsid w:val="00A851F6"/>
    <w:rsid w:val="00A85F3F"/>
    <w:rsid w:val="00A86F7B"/>
    <w:rsid w:val="00A87EFE"/>
    <w:rsid w:val="00A87F94"/>
    <w:rsid w:val="00A905C6"/>
    <w:rsid w:val="00A90DFB"/>
    <w:rsid w:val="00A92182"/>
    <w:rsid w:val="00A92F9E"/>
    <w:rsid w:val="00A94CCC"/>
    <w:rsid w:val="00A976B6"/>
    <w:rsid w:val="00A97818"/>
    <w:rsid w:val="00AA0990"/>
    <w:rsid w:val="00AA0DE5"/>
    <w:rsid w:val="00AA0EF1"/>
    <w:rsid w:val="00AA0F08"/>
    <w:rsid w:val="00AA1F93"/>
    <w:rsid w:val="00AA33EC"/>
    <w:rsid w:val="00AA440E"/>
    <w:rsid w:val="00AA4AAB"/>
    <w:rsid w:val="00AA5520"/>
    <w:rsid w:val="00AA55BA"/>
    <w:rsid w:val="00AA5A3D"/>
    <w:rsid w:val="00AA777D"/>
    <w:rsid w:val="00AB0027"/>
    <w:rsid w:val="00AB1BE9"/>
    <w:rsid w:val="00AB23EE"/>
    <w:rsid w:val="00AB4198"/>
    <w:rsid w:val="00AB553C"/>
    <w:rsid w:val="00AB667E"/>
    <w:rsid w:val="00AC0F53"/>
    <w:rsid w:val="00AC154F"/>
    <w:rsid w:val="00AC51EA"/>
    <w:rsid w:val="00AD15C9"/>
    <w:rsid w:val="00AD2DFA"/>
    <w:rsid w:val="00AD39F6"/>
    <w:rsid w:val="00AD7F45"/>
    <w:rsid w:val="00AE02FA"/>
    <w:rsid w:val="00AE10DA"/>
    <w:rsid w:val="00AE1AFA"/>
    <w:rsid w:val="00AE27AC"/>
    <w:rsid w:val="00AE7352"/>
    <w:rsid w:val="00AF501B"/>
    <w:rsid w:val="00AF5C86"/>
    <w:rsid w:val="00AF5DD2"/>
    <w:rsid w:val="00AF6D2F"/>
    <w:rsid w:val="00AF739F"/>
    <w:rsid w:val="00B00A00"/>
    <w:rsid w:val="00B01FBA"/>
    <w:rsid w:val="00B035D3"/>
    <w:rsid w:val="00B03E8F"/>
    <w:rsid w:val="00B0574E"/>
    <w:rsid w:val="00B05BC9"/>
    <w:rsid w:val="00B12328"/>
    <w:rsid w:val="00B12946"/>
    <w:rsid w:val="00B13B3F"/>
    <w:rsid w:val="00B13B9B"/>
    <w:rsid w:val="00B16EC2"/>
    <w:rsid w:val="00B17AC4"/>
    <w:rsid w:val="00B20315"/>
    <w:rsid w:val="00B20F5C"/>
    <w:rsid w:val="00B21BDB"/>
    <w:rsid w:val="00B228B1"/>
    <w:rsid w:val="00B245FA"/>
    <w:rsid w:val="00B24EEE"/>
    <w:rsid w:val="00B266F9"/>
    <w:rsid w:val="00B30F0E"/>
    <w:rsid w:val="00B35401"/>
    <w:rsid w:val="00B35B37"/>
    <w:rsid w:val="00B36DBD"/>
    <w:rsid w:val="00B36E17"/>
    <w:rsid w:val="00B40140"/>
    <w:rsid w:val="00B40311"/>
    <w:rsid w:val="00B432FD"/>
    <w:rsid w:val="00B456AD"/>
    <w:rsid w:val="00B46308"/>
    <w:rsid w:val="00B4635B"/>
    <w:rsid w:val="00B46E93"/>
    <w:rsid w:val="00B5106E"/>
    <w:rsid w:val="00B525F3"/>
    <w:rsid w:val="00B56283"/>
    <w:rsid w:val="00B57256"/>
    <w:rsid w:val="00B60F85"/>
    <w:rsid w:val="00B610A1"/>
    <w:rsid w:val="00B635C1"/>
    <w:rsid w:val="00B6365A"/>
    <w:rsid w:val="00B714E3"/>
    <w:rsid w:val="00B71871"/>
    <w:rsid w:val="00B73CF7"/>
    <w:rsid w:val="00B76CC0"/>
    <w:rsid w:val="00B76F73"/>
    <w:rsid w:val="00B77F31"/>
    <w:rsid w:val="00B81132"/>
    <w:rsid w:val="00B83B60"/>
    <w:rsid w:val="00B842A7"/>
    <w:rsid w:val="00B84604"/>
    <w:rsid w:val="00B92318"/>
    <w:rsid w:val="00B9288C"/>
    <w:rsid w:val="00B933BF"/>
    <w:rsid w:val="00B94099"/>
    <w:rsid w:val="00B94824"/>
    <w:rsid w:val="00B9509A"/>
    <w:rsid w:val="00B95A2D"/>
    <w:rsid w:val="00BA4A1B"/>
    <w:rsid w:val="00BA650D"/>
    <w:rsid w:val="00BA65B3"/>
    <w:rsid w:val="00BB1FA4"/>
    <w:rsid w:val="00BB3687"/>
    <w:rsid w:val="00BB4527"/>
    <w:rsid w:val="00BB5DB3"/>
    <w:rsid w:val="00BB6C67"/>
    <w:rsid w:val="00BB71C1"/>
    <w:rsid w:val="00BB7E8F"/>
    <w:rsid w:val="00BC220A"/>
    <w:rsid w:val="00BC28D0"/>
    <w:rsid w:val="00BC2DF5"/>
    <w:rsid w:val="00BC2F08"/>
    <w:rsid w:val="00BC3B89"/>
    <w:rsid w:val="00BC3C48"/>
    <w:rsid w:val="00BC7C44"/>
    <w:rsid w:val="00BC7FE8"/>
    <w:rsid w:val="00BD1AB1"/>
    <w:rsid w:val="00BD279E"/>
    <w:rsid w:val="00BD574E"/>
    <w:rsid w:val="00BD5911"/>
    <w:rsid w:val="00BD6612"/>
    <w:rsid w:val="00BD7895"/>
    <w:rsid w:val="00BE186F"/>
    <w:rsid w:val="00BE2444"/>
    <w:rsid w:val="00BE4E39"/>
    <w:rsid w:val="00BE5B1B"/>
    <w:rsid w:val="00BF12CD"/>
    <w:rsid w:val="00BF1CF4"/>
    <w:rsid w:val="00BF3883"/>
    <w:rsid w:val="00BF48B4"/>
    <w:rsid w:val="00BF5636"/>
    <w:rsid w:val="00BF575C"/>
    <w:rsid w:val="00BF5FE7"/>
    <w:rsid w:val="00BF6841"/>
    <w:rsid w:val="00C0640B"/>
    <w:rsid w:val="00C07512"/>
    <w:rsid w:val="00C132EC"/>
    <w:rsid w:val="00C173BC"/>
    <w:rsid w:val="00C1771F"/>
    <w:rsid w:val="00C21E98"/>
    <w:rsid w:val="00C23A8E"/>
    <w:rsid w:val="00C2411B"/>
    <w:rsid w:val="00C25EE4"/>
    <w:rsid w:val="00C27429"/>
    <w:rsid w:val="00C275AB"/>
    <w:rsid w:val="00C27FD7"/>
    <w:rsid w:val="00C3044A"/>
    <w:rsid w:val="00C31139"/>
    <w:rsid w:val="00C32B41"/>
    <w:rsid w:val="00C32D89"/>
    <w:rsid w:val="00C34BFC"/>
    <w:rsid w:val="00C34D70"/>
    <w:rsid w:val="00C35891"/>
    <w:rsid w:val="00C372E4"/>
    <w:rsid w:val="00C37B5D"/>
    <w:rsid w:val="00C410F2"/>
    <w:rsid w:val="00C4189C"/>
    <w:rsid w:val="00C419DE"/>
    <w:rsid w:val="00C43700"/>
    <w:rsid w:val="00C4542D"/>
    <w:rsid w:val="00C4568C"/>
    <w:rsid w:val="00C51F59"/>
    <w:rsid w:val="00C52886"/>
    <w:rsid w:val="00C542FC"/>
    <w:rsid w:val="00C60B91"/>
    <w:rsid w:val="00C617E2"/>
    <w:rsid w:val="00C672C0"/>
    <w:rsid w:val="00C70DB9"/>
    <w:rsid w:val="00C71DCF"/>
    <w:rsid w:val="00C7222D"/>
    <w:rsid w:val="00C756FD"/>
    <w:rsid w:val="00C76BFB"/>
    <w:rsid w:val="00C80954"/>
    <w:rsid w:val="00C815CD"/>
    <w:rsid w:val="00C81710"/>
    <w:rsid w:val="00C817AD"/>
    <w:rsid w:val="00C83E05"/>
    <w:rsid w:val="00C84305"/>
    <w:rsid w:val="00C84D24"/>
    <w:rsid w:val="00C85867"/>
    <w:rsid w:val="00C878AD"/>
    <w:rsid w:val="00C921C6"/>
    <w:rsid w:val="00C9629F"/>
    <w:rsid w:val="00CA3CCD"/>
    <w:rsid w:val="00CA6B51"/>
    <w:rsid w:val="00CB1DC7"/>
    <w:rsid w:val="00CB2FD4"/>
    <w:rsid w:val="00CB3B7B"/>
    <w:rsid w:val="00CB7AF0"/>
    <w:rsid w:val="00CC34DB"/>
    <w:rsid w:val="00CC35F4"/>
    <w:rsid w:val="00CC4351"/>
    <w:rsid w:val="00CC4C41"/>
    <w:rsid w:val="00CC71A4"/>
    <w:rsid w:val="00CD04F0"/>
    <w:rsid w:val="00CD0C46"/>
    <w:rsid w:val="00CD3886"/>
    <w:rsid w:val="00CD488F"/>
    <w:rsid w:val="00CD7C4F"/>
    <w:rsid w:val="00CE1BC8"/>
    <w:rsid w:val="00CE722C"/>
    <w:rsid w:val="00CF0570"/>
    <w:rsid w:val="00CF0904"/>
    <w:rsid w:val="00CF3FEF"/>
    <w:rsid w:val="00CF5502"/>
    <w:rsid w:val="00CF570A"/>
    <w:rsid w:val="00CF5772"/>
    <w:rsid w:val="00CF75CB"/>
    <w:rsid w:val="00D029C6"/>
    <w:rsid w:val="00D02F59"/>
    <w:rsid w:val="00D075F5"/>
    <w:rsid w:val="00D12D75"/>
    <w:rsid w:val="00D14C3B"/>
    <w:rsid w:val="00D172E5"/>
    <w:rsid w:val="00D23B05"/>
    <w:rsid w:val="00D24CD7"/>
    <w:rsid w:val="00D259AB"/>
    <w:rsid w:val="00D31780"/>
    <w:rsid w:val="00D32EF1"/>
    <w:rsid w:val="00D33759"/>
    <w:rsid w:val="00D34483"/>
    <w:rsid w:val="00D3631D"/>
    <w:rsid w:val="00D4044E"/>
    <w:rsid w:val="00D44902"/>
    <w:rsid w:val="00D44CAB"/>
    <w:rsid w:val="00D454A9"/>
    <w:rsid w:val="00D47607"/>
    <w:rsid w:val="00D478B4"/>
    <w:rsid w:val="00D51314"/>
    <w:rsid w:val="00D5577B"/>
    <w:rsid w:val="00D55F5A"/>
    <w:rsid w:val="00D562EA"/>
    <w:rsid w:val="00D57F55"/>
    <w:rsid w:val="00D616C5"/>
    <w:rsid w:val="00D637B7"/>
    <w:rsid w:val="00D665A6"/>
    <w:rsid w:val="00D6737D"/>
    <w:rsid w:val="00D7431E"/>
    <w:rsid w:val="00D75386"/>
    <w:rsid w:val="00D76819"/>
    <w:rsid w:val="00D778E1"/>
    <w:rsid w:val="00D81889"/>
    <w:rsid w:val="00D81F10"/>
    <w:rsid w:val="00D84C7A"/>
    <w:rsid w:val="00D850A0"/>
    <w:rsid w:val="00D91721"/>
    <w:rsid w:val="00D92095"/>
    <w:rsid w:val="00D9369D"/>
    <w:rsid w:val="00D93F6F"/>
    <w:rsid w:val="00D95EBD"/>
    <w:rsid w:val="00D96790"/>
    <w:rsid w:val="00D97AE9"/>
    <w:rsid w:val="00D97E85"/>
    <w:rsid w:val="00DA0416"/>
    <w:rsid w:val="00DA14BE"/>
    <w:rsid w:val="00DA544F"/>
    <w:rsid w:val="00DA646B"/>
    <w:rsid w:val="00DA6532"/>
    <w:rsid w:val="00DB2206"/>
    <w:rsid w:val="00DB406D"/>
    <w:rsid w:val="00DB468A"/>
    <w:rsid w:val="00DB5004"/>
    <w:rsid w:val="00DC35FF"/>
    <w:rsid w:val="00DC603C"/>
    <w:rsid w:val="00DC674B"/>
    <w:rsid w:val="00DC74CA"/>
    <w:rsid w:val="00DD194C"/>
    <w:rsid w:val="00DD1ED4"/>
    <w:rsid w:val="00DD418E"/>
    <w:rsid w:val="00DE0E05"/>
    <w:rsid w:val="00DE67E4"/>
    <w:rsid w:val="00DE760F"/>
    <w:rsid w:val="00DE78CE"/>
    <w:rsid w:val="00DF0AAD"/>
    <w:rsid w:val="00DF65E2"/>
    <w:rsid w:val="00DF6B48"/>
    <w:rsid w:val="00DF6E09"/>
    <w:rsid w:val="00E0012D"/>
    <w:rsid w:val="00E01679"/>
    <w:rsid w:val="00E01D12"/>
    <w:rsid w:val="00E0228F"/>
    <w:rsid w:val="00E024E0"/>
    <w:rsid w:val="00E029F3"/>
    <w:rsid w:val="00E05318"/>
    <w:rsid w:val="00E067FE"/>
    <w:rsid w:val="00E10768"/>
    <w:rsid w:val="00E11079"/>
    <w:rsid w:val="00E14250"/>
    <w:rsid w:val="00E15573"/>
    <w:rsid w:val="00E15ABD"/>
    <w:rsid w:val="00E16A41"/>
    <w:rsid w:val="00E17784"/>
    <w:rsid w:val="00E209BB"/>
    <w:rsid w:val="00E2154A"/>
    <w:rsid w:val="00E22F4D"/>
    <w:rsid w:val="00E24249"/>
    <w:rsid w:val="00E25D71"/>
    <w:rsid w:val="00E26CAA"/>
    <w:rsid w:val="00E30440"/>
    <w:rsid w:val="00E30AD8"/>
    <w:rsid w:val="00E320DA"/>
    <w:rsid w:val="00E32499"/>
    <w:rsid w:val="00E364A2"/>
    <w:rsid w:val="00E401EC"/>
    <w:rsid w:val="00E415B5"/>
    <w:rsid w:val="00E42B94"/>
    <w:rsid w:val="00E4418B"/>
    <w:rsid w:val="00E4492A"/>
    <w:rsid w:val="00E44F68"/>
    <w:rsid w:val="00E50AE3"/>
    <w:rsid w:val="00E50D5D"/>
    <w:rsid w:val="00E527E3"/>
    <w:rsid w:val="00E540C5"/>
    <w:rsid w:val="00E550EA"/>
    <w:rsid w:val="00E57D1C"/>
    <w:rsid w:val="00E65B9E"/>
    <w:rsid w:val="00E67678"/>
    <w:rsid w:val="00E678BE"/>
    <w:rsid w:val="00E71C7D"/>
    <w:rsid w:val="00E725EB"/>
    <w:rsid w:val="00E7267A"/>
    <w:rsid w:val="00E775EC"/>
    <w:rsid w:val="00E8089E"/>
    <w:rsid w:val="00E82E8A"/>
    <w:rsid w:val="00E83C68"/>
    <w:rsid w:val="00E867C5"/>
    <w:rsid w:val="00E867F5"/>
    <w:rsid w:val="00E87DD0"/>
    <w:rsid w:val="00E9033B"/>
    <w:rsid w:val="00E90AC8"/>
    <w:rsid w:val="00E91048"/>
    <w:rsid w:val="00E9165D"/>
    <w:rsid w:val="00E942C3"/>
    <w:rsid w:val="00E949BA"/>
    <w:rsid w:val="00E95497"/>
    <w:rsid w:val="00E954D3"/>
    <w:rsid w:val="00E9562F"/>
    <w:rsid w:val="00E95877"/>
    <w:rsid w:val="00E970C9"/>
    <w:rsid w:val="00EA124A"/>
    <w:rsid w:val="00EA2340"/>
    <w:rsid w:val="00EA2A92"/>
    <w:rsid w:val="00EA32BD"/>
    <w:rsid w:val="00EA702A"/>
    <w:rsid w:val="00EA71A8"/>
    <w:rsid w:val="00EB06FB"/>
    <w:rsid w:val="00EB07B8"/>
    <w:rsid w:val="00EB07BD"/>
    <w:rsid w:val="00EB34D5"/>
    <w:rsid w:val="00EB40CB"/>
    <w:rsid w:val="00EB69BD"/>
    <w:rsid w:val="00EC15A6"/>
    <w:rsid w:val="00EC4C19"/>
    <w:rsid w:val="00EC5DAC"/>
    <w:rsid w:val="00EC6CD0"/>
    <w:rsid w:val="00ED1D68"/>
    <w:rsid w:val="00ED2196"/>
    <w:rsid w:val="00ED2FB4"/>
    <w:rsid w:val="00ED34F2"/>
    <w:rsid w:val="00ED3500"/>
    <w:rsid w:val="00ED7277"/>
    <w:rsid w:val="00ED779D"/>
    <w:rsid w:val="00EE0CD6"/>
    <w:rsid w:val="00EE3275"/>
    <w:rsid w:val="00EE632C"/>
    <w:rsid w:val="00EE684D"/>
    <w:rsid w:val="00EE69D3"/>
    <w:rsid w:val="00EF1296"/>
    <w:rsid w:val="00EF315C"/>
    <w:rsid w:val="00F079F4"/>
    <w:rsid w:val="00F118E7"/>
    <w:rsid w:val="00F120EE"/>
    <w:rsid w:val="00F1414A"/>
    <w:rsid w:val="00F14818"/>
    <w:rsid w:val="00F17721"/>
    <w:rsid w:val="00F17EFD"/>
    <w:rsid w:val="00F24C82"/>
    <w:rsid w:val="00F255F4"/>
    <w:rsid w:val="00F25742"/>
    <w:rsid w:val="00F26384"/>
    <w:rsid w:val="00F26E24"/>
    <w:rsid w:val="00F301B0"/>
    <w:rsid w:val="00F3295D"/>
    <w:rsid w:val="00F32B3F"/>
    <w:rsid w:val="00F4345E"/>
    <w:rsid w:val="00F449AE"/>
    <w:rsid w:val="00F467F1"/>
    <w:rsid w:val="00F468CD"/>
    <w:rsid w:val="00F46CAF"/>
    <w:rsid w:val="00F46FA6"/>
    <w:rsid w:val="00F51D94"/>
    <w:rsid w:val="00F52154"/>
    <w:rsid w:val="00F52873"/>
    <w:rsid w:val="00F5321A"/>
    <w:rsid w:val="00F54D57"/>
    <w:rsid w:val="00F55994"/>
    <w:rsid w:val="00F66B60"/>
    <w:rsid w:val="00F67555"/>
    <w:rsid w:val="00F67B0C"/>
    <w:rsid w:val="00F67E78"/>
    <w:rsid w:val="00F67F4B"/>
    <w:rsid w:val="00F7045D"/>
    <w:rsid w:val="00F70C3D"/>
    <w:rsid w:val="00F71098"/>
    <w:rsid w:val="00F7495D"/>
    <w:rsid w:val="00F82966"/>
    <w:rsid w:val="00F84A22"/>
    <w:rsid w:val="00F853F1"/>
    <w:rsid w:val="00F857C6"/>
    <w:rsid w:val="00F85862"/>
    <w:rsid w:val="00F90096"/>
    <w:rsid w:val="00F91653"/>
    <w:rsid w:val="00F93525"/>
    <w:rsid w:val="00F93EA8"/>
    <w:rsid w:val="00FA1553"/>
    <w:rsid w:val="00FA2772"/>
    <w:rsid w:val="00FA3283"/>
    <w:rsid w:val="00FA3A2C"/>
    <w:rsid w:val="00FA4900"/>
    <w:rsid w:val="00FA65E5"/>
    <w:rsid w:val="00FB0FDC"/>
    <w:rsid w:val="00FB3ACF"/>
    <w:rsid w:val="00FB3E9B"/>
    <w:rsid w:val="00FB4214"/>
    <w:rsid w:val="00FB43BC"/>
    <w:rsid w:val="00FB4EA4"/>
    <w:rsid w:val="00FB6DAC"/>
    <w:rsid w:val="00FC0AFA"/>
    <w:rsid w:val="00FC191A"/>
    <w:rsid w:val="00FC2FEF"/>
    <w:rsid w:val="00FC4512"/>
    <w:rsid w:val="00FC4C0B"/>
    <w:rsid w:val="00FC5811"/>
    <w:rsid w:val="00FD10A2"/>
    <w:rsid w:val="00FD512B"/>
    <w:rsid w:val="00FD6E70"/>
    <w:rsid w:val="00FD7AB4"/>
    <w:rsid w:val="00FE0D44"/>
    <w:rsid w:val="00FE1193"/>
    <w:rsid w:val="00FE170A"/>
    <w:rsid w:val="00FE18BE"/>
    <w:rsid w:val="00FE1DFC"/>
    <w:rsid w:val="00FE29F7"/>
    <w:rsid w:val="00FE3C0E"/>
    <w:rsid w:val="00FE42A6"/>
    <w:rsid w:val="00FE6F0C"/>
    <w:rsid w:val="00FE7C18"/>
    <w:rsid w:val="00FE7FC3"/>
    <w:rsid w:val="00FF22F9"/>
    <w:rsid w:val="00FF54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F7"/>
  </w:style>
  <w:style w:type="paragraph" w:styleId="Titre1">
    <w:name w:val="heading 1"/>
    <w:basedOn w:val="Normal"/>
    <w:next w:val="Normal"/>
    <w:link w:val="Titre1Car"/>
    <w:uiPriority w:val="9"/>
    <w:qFormat/>
    <w:rsid w:val="00845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45D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45D4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45D4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5D4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5D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5D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5D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845D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845D47"/>
    <w:pPr>
      <w:ind w:left="720"/>
      <w:contextualSpacing/>
    </w:pPr>
  </w:style>
  <w:style w:type="table" w:styleId="Grilledutableau">
    <w:name w:val="Table Grid"/>
    <w:basedOn w:val="TableauNormal"/>
    <w:rsid w:val="0096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45D4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45D47"/>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45D47"/>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rsid w:val="00845D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45D47"/>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rsid w:val="00845D47"/>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845D47"/>
    <w:pPr>
      <w:spacing w:after="0" w:line="240" w:lineRule="auto"/>
    </w:pPr>
  </w:style>
  <w:style w:type="character" w:customStyle="1" w:styleId="SansinterligneCar">
    <w:name w:val="Sans interligne Car"/>
    <w:basedOn w:val="Policepardfaut"/>
    <w:link w:val="Sansinterligne"/>
    <w:uiPriority w:val="1"/>
    <w:rsid w:val="00845D47"/>
  </w:style>
  <w:style w:type="paragraph" w:styleId="Retraitcorpsdetexte">
    <w:name w:val="Body Text Indent"/>
    <w:basedOn w:val="Normal"/>
    <w:link w:val="RetraitcorpsdetexteCar"/>
    <w:rsid w:val="00DF0AAD"/>
    <w:pPr>
      <w:bidi/>
      <w:spacing w:after="0" w:line="480" w:lineRule="exact"/>
      <w:ind w:firstLine="709"/>
      <w:jc w:val="both"/>
    </w:pPr>
    <w:rPr>
      <w:rFonts w:ascii="Times New Roman" w:eastAsia="Times New Roman" w:hAnsi="Times New Roman" w:cs="Simplified Arabic"/>
      <w:sz w:val="32"/>
      <w:szCs w:val="32"/>
      <w:lang w:bidi="ar-MA"/>
    </w:rPr>
  </w:style>
  <w:style w:type="character" w:customStyle="1" w:styleId="RetraitcorpsdetexteCar">
    <w:name w:val="Retrait corps de texte Car"/>
    <w:basedOn w:val="Policepardfaut"/>
    <w:link w:val="Retraitcorpsdetexte"/>
    <w:rsid w:val="00DF0AAD"/>
    <w:rPr>
      <w:rFonts w:ascii="Times New Roman" w:eastAsia="Times New Roman" w:hAnsi="Times New Roman" w:cs="Simplified Arabic"/>
      <w:sz w:val="32"/>
      <w:szCs w:val="32"/>
      <w:lang w:eastAsia="fr-FR" w:bidi="ar-MA"/>
    </w:rPr>
  </w:style>
  <w:style w:type="character" w:customStyle="1" w:styleId="Titre5Car">
    <w:name w:val="Titre 5 Car"/>
    <w:basedOn w:val="Policepardfaut"/>
    <w:link w:val="Titre5"/>
    <w:uiPriority w:val="9"/>
    <w:rsid w:val="00845D4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45D4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45D4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845D47"/>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845D47"/>
    <w:rPr>
      <w:rFonts w:asciiTheme="majorHAnsi" w:eastAsiaTheme="majorEastAsia" w:hAnsiTheme="majorHAnsi" w:cstheme="majorBidi"/>
      <w:i/>
      <w:iCs/>
      <w:color w:val="404040" w:themeColor="text1" w:themeTint="BF"/>
      <w:sz w:val="20"/>
      <w:szCs w:val="20"/>
    </w:rPr>
  </w:style>
  <w:style w:type="paragraph" w:customStyle="1" w:styleId="TitreI">
    <w:name w:val="Titre I"/>
    <w:basedOn w:val="Titre1"/>
    <w:rsid w:val="005D311B"/>
    <w:pPr>
      <w:numPr>
        <w:numId w:val="1"/>
      </w:numPr>
    </w:pPr>
    <w:rPr>
      <w:rFonts w:asciiTheme="majorBidi" w:eastAsia="Times New Roman" w:hAnsiTheme="majorBidi" w:cs="Times New Roman"/>
      <w:color w:val="4F81BD" w:themeColor="accent1"/>
    </w:rPr>
  </w:style>
  <w:style w:type="paragraph" w:styleId="Titre">
    <w:name w:val="Title"/>
    <w:basedOn w:val="Normal"/>
    <w:next w:val="Normal"/>
    <w:link w:val="TitreCar"/>
    <w:uiPriority w:val="10"/>
    <w:qFormat/>
    <w:rsid w:val="00845D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5D4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45D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5D47"/>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845D47"/>
    <w:rPr>
      <w:b/>
      <w:bCs/>
    </w:rPr>
  </w:style>
  <w:style w:type="character" w:styleId="Accentuation">
    <w:name w:val="Emphasis"/>
    <w:basedOn w:val="Policepardfaut"/>
    <w:uiPriority w:val="20"/>
    <w:qFormat/>
    <w:rsid w:val="00845D47"/>
    <w:rPr>
      <w:i/>
      <w:iCs/>
    </w:rPr>
  </w:style>
  <w:style w:type="paragraph" w:styleId="Citation">
    <w:name w:val="Quote"/>
    <w:basedOn w:val="Normal"/>
    <w:next w:val="Normal"/>
    <w:link w:val="CitationCar"/>
    <w:uiPriority w:val="29"/>
    <w:qFormat/>
    <w:rsid w:val="00845D47"/>
    <w:rPr>
      <w:i/>
      <w:iCs/>
      <w:color w:val="000000" w:themeColor="text1"/>
    </w:rPr>
  </w:style>
  <w:style w:type="character" w:customStyle="1" w:styleId="CitationCar">
    <w:name w:val="Citation Car"/>
    <w:basedOn w:val="Policepardfaut"/>
    <w:link w:val="Citation"/>
    <w:uiPriority w:val="29"/>
    <w:rsid w:val="00845D47"/>
    <w:rPr>
      <w:i/>
      <w:iCs/>
      <w:color w:val="000000" w:themeColor="text1"/>
    </w:rPr>
  </w:style>
  <w:style w:type="paragraph" w:styleId="Citationintense">
    <w:name w:val="Intense Quote"/>
    <w:basedOn w:val="Normal"/>
    <w:next w:val="Normal"/>
    <w:link w:val="CitationintenseCar"/>
    <w:uiPriority w:val="30"/>
    <w:qFormat/>
    <w:rsid w:val="00845D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45D47"/>
    <w:rPr>
      <w:b/>
      <w:bCs/>
      <w:i/>
      <w:iCs/>
      <w:color w:val="4F81BD" w:themeColor="accent1"/>
    </w:rPr>
  </w:style>
  <w:style w:type="character" w:styleId="Emphaseple">
    <w:name w:val="Subtle Emphasis"/>
    <w:basedOn w:val="Policepardfaut"/>
    <w:uiPriority w:val="19"/>
    <w:qFormat/>
    <w:rsid w:val="00845D47"/>
    <w:rPr>
      <w:i/>
      <w:iCs/>
      <w:color w:val="808080" w:themeColor="text1" w:themeTint="7F"/>
    </w:rPr>
  </w:style>
  <w:style w:type="character" w:styleId="Emphaseintense">
    <w:name w:val="Intense Emphasis"/>
    <w:basedOn w:val="Policepardfaut"/>
    <w:uiPriority w:val="21"/>
    <w:qFormat/>
    <w:rsid w:val="00845D47"/>
    <w:rPr>
      <w:b/>
      <w:bCs/>
      <w:i/>
      <w:iCs/>
      <w:color w:val="4F81BD" w:themeColor="accent1"/>
    </w:rPr>
  </w:style>
  <w:style w:type="character" w:styleId="Rfrenceple">
    <w:name w:val="Subtle Reference"/>
    <w:basedOn w:val="Policepardfaut"/>
    <w:uiPriority w:val="31"/>
    <w:qFormat/>
    <w:rsid w:val="00845D47"/>
    <w:rPr>
      <w:smallCaps/>
      <w:color w:val="C0504D" w:themeColor="accent2"/>
      <w:u w:val="single"/>
    </w:rPr>
  </w:style>
  <w:style w:type="character" w:styleId="Rfrenceintense">
    <w:name w:val="Intense Reference"/>
    <w:basedOn w:val="Policepardfaut"/>
    <w:uiPriority w:val="32"/>
    <w:qFormat/>
    <w:rsid w:val="00845D47"/>
    <w:rPr>
      <w:b/>
      <w:bCs/>
      <w:smallCaps/>
      <w:color w:val="C0504D" w:themeColor="accent2"/>
      <w:spacing w:val="5"/>
      <w:u w:val="single"/>
    </w:rPr>
  </w:style>
  <w:style w:type="character" w:styleId="Titredulivre">
    <w:name w:val="Book Title"/>
    <w:basedOn w:val="Policepardfaut"/>
    <w:uiPriority w:val="33"/>
    <w:qFormat/>
    <w:rsid w:val="00845D47"/>
    <w:rPr>
      <w:b/>
      <w:bCs/>
      <w:smallCaps/>
      <w:spacing w:val="5"/>
    </w:rPr>
  </w:style>
</w:styles>
</file>

<file path=word/webSettings.xml><?xml version="1.0" encoding="utf-8"?>
<w:webSettings xmlns:r="http://schemas.openxmlformats.org/officeDocument/2006/relationships" xmlns:w="http://schemas.openxmlformats.org/wordprocessingml/2006/main">
  <w:divs>
    <w:div w:id="26029463">
      <w:bodyDiv w:val="1"/>
      <w:marLeft w:val="0"/>
      <w:marRight w:val="0"/>
      <w:marTop w:val="0"/>
      <w:marBottom w:val="0"/>
      <w:divBdr>
        <w:top w:val="none" w:sz="0" w:space="0" w:color="auto"/>
        <w:left w:val="none" w:sz="0" w:space="0" w:color="auto"/>
        <w:bottom w:val="none" w:sz="0" w:space="0" w:color="auto"/>
        <w:right w:val="none" w:sz="0" w:space="0" w:color="auto"/>
      </w:divBdr>
      <w:divsChild>
        <w:div w:id="839083687">
          <w:marLeft w:val="547"/>
          <w:marRight w:val="0"/>
          <w:marTop w:val="134"/>
          <w:marBottom w:val="0"/>
          <w:divBdr>
            <w:top w:val="none" w:sz="0" w:space="0" w:color="auto"/>
            <w:left w:val="none" w:sz="0" w:space="0" w:color="auto"/>
            <w:bottom w:val="none" w:sz="0" w:space="0" w:color="auto"/>
            <w:right w:val="none" w:sz="0" w:space="0" w:color="auto"/>
          </w:divBdr>
        </w:div>
        <w:div w:id="1210722717">
          <w:marLeft w:val="547"/>
          <w:marRight w:val="0"/>
          <w:marTop w:val="134"/>
          <w:marBottom w:val="0"/>
          <w:divBdr>
            <w:top w:val="none" w:sz="0" w:space="0" w:color="auto"/>
            <w:left w:val="none" w:sz="0" w:space="0" w:color="auto"/>
            <w:bottom w:val="none" w:sz="0" w:space="0" w:color="auto"/>
            <w:right w:val="none" w:sz="0" w:space="0" w:color="auto"/>
          </w:divBdr>
        </w:div>
        <w:div w:id="1447963939">
          <w:marLeft w:val="547"/>
          <w:marRight w:val="0"/>
          <w:marTop w:val="134"/>
          <w:marBottom w:val="0"/>
          <w:divBdr>
            <w:top w:val="none" w:sz="0" w:space="0" w:color="auto"/>
            <w:left w:val="none" w:sz="0" w:space="0" w:color="auto"/>
            <w:bottom w:val="none" w:sz="0" w:space="0" w:color="auto"/>
            <w:right w:val="none" w:sz="0" w:space="0" w:color="auto"/>
          </w:divBdr>
        </w:div>
        <w:div w:id="2004701582">
          <w:marLeft w:val="547"/>
          <w:marRight w:val="0"/>
          <w:marTop w:val="134"/>
          <w:marBottom w:val="0"/>
          <w:divBdr>
            <w:top w:val="none" w:sz="0" w:space="0" w:color="auto"/>
            <w:left w:val="none" w:sz="0" w:space="0" w:color="auto"/>
            <w:bottom w:val="none" w:sz="0" w:space="0" w:color="auto"/>
            <w:right w:val="none" w:sz="0" w:space="0" w:color="auto"/>
          </w:divBdr>
        </w:div>
      </w:divsChild>
    </w:div>
    <w:div w:id="33114974">
      <w:bodyDiv w:val="1"/>
      <w:marLeft w:val="0"/>
      <w:marRight w:val="0"/>
      <w:marTop w:val="0"/>
      <w:marBottom w:val="0"/>
      <w:divBdr>
        <w:top w:val="none" w:sz="0" w:space="0" w:color="auto"/>
        <w:left w:val="none" w:sz="0" w:space="0" w:color="auto"/>
        <w:bottom w:val="none" w:sz="0" w:space="0" w:color="auto"/>
        <w:right w:val="none" w:sz="0" w:space="0" w:color="auto"/>
      </w:divBdr>
      <w:divsChild>
        <w:div w:id="1963993911">
          <w:marLeft w:val="547"/>
          <w:marRight w:val="0"/>
          <w:marTop w:val="154"/>
          <w:marBottom w:val="0"/>
          <w:divBdr>
            <w:top w:val="none" w:sz="0" w:space="0" w:color="auto"/>
            <w:left w:val="none" w:sz="0" w:space="0" w:color="auto"/>
            <w:bottom w:val="none" w:sz="0" w:space="0" w:color="auto"/>
            <w:right w:val="none" w:sz="0" w:space="0" w:color="auto"/>
          </w:divBdr>
        </w:div>
      </w:divsChild>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44303051">
      <w:bodyDiv w:val="1"/>
      <w:marLeft w:val="0"/>
      <w:marRight w:val="0"/>
      <w:marTop w:val="0"/>
      <w:marBottom w:val="0"/>
      <w:divBdr>
        <w:top w:val="none" w:sz="0" w:space="0" w:color="auto"/>
        <w:left w:val="none" w:sz="0" w:space="0" w:color="auto"/>
        <w:bottom w:val="none" w:sz="0" w:space="0" w:color="auto"/>
        <w:right w:val="none" w:sz="0" w:space="0" w:color="auto"/>
      </w:divBdr>
    </w:div>
    <w:div w:id="73742884">
      <w:bodyDiv w:val="1"/>
      <w:marLeft w:val="0"/>
      <w:marRight w:val="0"/>
      <w:marTop w:val="0"/>
      <w:marBottom w:val="0"/>
      <w:divBdr>
        <w:top w:val="none" w:sz="0" w:space="0" w:color="auto"/>
        <w:left w:val="none" w:sz="0" w:space="0" w:color="auto"/>
        <w:bottom w:val="none" w:sz="0" w:space="0" w:color="auto"/>
        <w:right w:val="none" w:sz="0" w:space="0" w:color="auto"/>
      </w:divBdr>
    </w:div>
    <w:div w:id="106044462">
      <w:bodyDiv w:val="1"/>
      <w:marLeft w:val="0"/>
      <w:marRight w:val="0"/>
      <w:marTop w:val="0"/>
      <w:marBottom w:val="0"/>
      <w:divBdr>
        <w:top w:val="none" w:sz="0" w:space="0" w:color="auto"/>
        <w:left w:val="none" w:sz="0" w:space="0" w:color="auto"/>
        <w:bottom w:val="none" w:sz="0" w:space="0" w:color="auto"/>
        <w:right w:val="none" w:sz="0" w:space="0" w:color="auto"/>
      </w:divBdr>
      <w:divsChild>
        <w:div w:id="1949893556">
          <w:marLeft w:val="547"/>
          <w:marRight w:val="0"/>
          <w:marTop w:val="134"/>
          <w:marBottom w:val="0"/>
          <w:divBdr>
            <w:top w:val="none" w:sz="0" w:space="0" w:color="auto"/>
            <w:left w:val="none" w:sz="0" w:space="0" w:color="auto"/>
            <w:bottom w:val="none" w:sz="0" w:space="0" w:color="auto"/>
            <w:right w:val="none" w:sz="0" w:space="0" w:color="auto"/>
          </w:divBdr>
        </w:div>
      </w:divsChild>
    </w:div>
    <w:div w:id="118187059">
      <w:bodyDiv w:val="1"/>
      <w:marLeft w:val="0"/>
      <w:marRight w:val="0"/>
      <w:marTop w:val="0"/>
      <w:marBottom w:val="0"/>
      <w:divBdr>
        <w:top w:val="none" w:sz="0" w:space="0" w:color="auto"/>
        <w:left w:val="none" w:sz="0" w:space="0" w:color="auto"/>
        <w:bottom w:val="none" w:sz="0" w:space="0" w:color="auto"/>
        <w:right w:val="none" w:sz="0" w:space="0" w:color="auto"/>
      </w:divBdr>
      <w:divsChild>
        <w:div w:id="6446397">
          <w:marLeft w:val="547"/>
          <w:marRight w:val="0"/>
          <w:marTop w:val="134"/>
          <w:marBottom w:val="0"/>
          <w:divBdr>
            <w:top w:val="none" w:sz="0" w:space="0" w:color="auto"/>
            <w:left w:val="none" w:sz="0" w:space="0" w:color="auto"/>
            <w:bottom w:val="none" w:sz="0" w:space="0" w:color="auto"/>
            <w:right w:val="none" w:sz="0" w:space="0" w:color="auto"/>
          </w:divBdr>
        </w:div>
        <w:div w:id="856650515">
          <w:marLeft w:val="547"/>
          <w:marRight w:val="0"/>
          <w:marTop w:val="134"/>
          <w:marBottom w:val="0"/>
          <w:divBdr>
            <w:top w:val="none" w:sz="0" w:space="0" w:color="auto"/>
            <w:left w:val="none" w:sz="0" w:space="0" w:color="auto"/>
            <w:bottom w:val="none" w:sz="0" w:space="0" w:color="auto"/>
            <w:right w:val="none" w:sz="0" w:space="0" w:color="auto"/>
          </w:divBdr>
        </w:div>
        <w:div w:id="1126118347">
          <w:marLeft w:val="547"/>
          <w:marRight w:val="0"/>
          <w:marTop w:val="134"/>
          <w:marBottom w:val="0"/>
          <w:divBdr>
            <w:top w:val="none" w:sz="0" w:space="0" w:color="auto"/>
            <w:left w:val="none" w:sz="0" w:space="0" w:color="auto"/>
            <w:bottom w:val="none" w:sz="0" w:space="0" w:color="auto"/>
            <w:right w:val="none" w:sz="0" w:space="0" w:color="auto"/>
          </w:divBdr>
        </w:div>
        <w:div w:id="1765414286">
          <w:marLeft w:val="547"/>
          <w:marRight w:val="0"/>
          <w:marTop w:val="134"/>
          <w:marBottom w:val="0"/>
          <w:divBdr>
            <w:top w:val="none" w:sz="0" w:space="0" w:color="auto"/>
            <w:left w:val="none" w:sz="0" w:space="0" w:color="auto"/>
            <w:bottom w:val="none" w:sz="0" w:space="0" w:color="auto"/>
            <w:right w:val="none" w:sz="0" w:space="0" w:color="auto"/>
          </w:divBdr>
        </w:div>
        <w:div w:id="2048095752">
          <w:marLeft w:val="547"/>
          <w:marRight w:val="0"/>
          <w:marTop w:val="134"/>
          <w:marBottom w:val="0"/>
          <w:divBdr>
            <w:top w:val="none" w:sz="0" w:space="0" w:color="auto"/>
            <w:left w:val="none" w:sz="0" w:space="0" w:color="auto"/>
            <w:bottom w:val="none" w:sz="0" w:space="0" w:color="auto"/>
            <w:right w:val="none" w:sz="0" w:space="0" w:color="auto"/>
          </w:divBdr>
        </w:div>
        <w:div w:id="2098791254">
          <w:marLeft w:val="547"/>
          <w:marRight w:val="0"/>
          <w:marTop w:val="134"/>
          <w:marBottom w:val="0"/>
          <w:divBdr>
            <w:top w:val="none" w:sz="0" w:space="0" w:color="auto"/>
            <w:left w:val="none" w:sz="0" w:space="0" w:color="auto"/>
            <w:bottom w:val="none" w:sz="0" w:space="0" w:color="auto"/>
            <w:right w:val="none" w:sz="0" w:space="0" w:color="auto"/>
          </w:divBdr>
        </w:div>
      </w:divsChild>
    </w:div>
    <w:div w:id="130484021">
      <w:bodyDiv w:val="1"/>
      <w:marLeft w:val="0"/>
      <w:marRight w:val="0"/>
      <w:marTop w:val="0"/>
      <w:marBottom w:val="0"/>
      <w:divBdr>
        <w:top w:val="none" w:sz="0" w:space="0" w:color="auto"/>
        <w:left w:val="none" w:sz="0" w:space="0" w:color="auto"/>
        <w:bottom w:val="none" w:sz="0" w:space="0" w:color="auto"/>
        <w:right w:val="none" w:sz="0" w:space="0" w:color="auto"/>
      </w:divBdr>
    </w:div>
    <w:div w:id="144900222">
      <w:bodyDiv w:val="1"/>
      <w:marLeft w:val="0"/>
      <w:marRight w:val="0"/>
      <w:marTop w:val="0"/>
      <w:marBottom w:val="0"/>
      <w:divBdr>
        <w:top w:val="none" w:sz="0" w:space="0" w:color="auto"/>
        <w:left w:val="none" w:sz="0" w:space="0" w:color="auto"/>
        <w:bottom w:val="none" w:sz="0" w:space="0" w:color="auto"/>
        <w:right w:val="none" w:sz="0" w:space="0" w:color="auto"/>
      </w:divBdr>
      <w:divsChild>
        <w:div w:id="1239513866">
          <w:marLeft w:val="547"/>
          <w:marRight w:val="0"/>
          <w:marTop w:val="134"/>
          <w:marBottom w:val="0"/>
          <w:divBdr>
            <w:top w:val="none" w:sz="0" w:space="0" w:color="auto"/>
            <w:left w:val="none" w:sz="0" w:space="0" w:color="auto"/>
            <w:bottom w:val="none" w:sz="0" w:space="0" w:color="auto"/>
            <w:right w:val="none" w:sz="0" w:space="0" w:color="auto"/>
          </w:divBdr>
        </w:div>
        <w:div w:id="1529101566">
          <w:marLeft w:val="547"/>
          <w:marRight w:val="0"/>
          <w:marTop w:val="134"/>
          <w:marBottom w:val="0"/>
          <w:divBdr>
            <w:top w:val="none" w:sz="0" w:space="0" w:color="auto"/>
            <w:left w:val="none" w:sz="0" w:space="0" w:color="auto"/>
            <w:bottom w:val="none" w:sz="0" w:space="0" w:color="auto"/>
            <w:right w:val="none" w:sz="0" w:space="0" w:color="auto"/>
          </w:divBdr>
        </w:div>
      </w:divsChild>
    </w:div>
    <w:div w:id="145826941">
      <w:bodyDiv w:val="1"/>
      <w:marLeft w:val="0"/>
      <w:marRight w:val="0"/>
      <w:marTop w:val="0"/>
      <w:marBottom w:val="0"/>
      <w:divBdr>
        <w:top w:val="none" w:sz="0" w:space="0" w:color="auto"/>
        <w:left w:val="none" w:sz="0" w:space="0" w:color="auto"/>
        <w:bottom w:val="none" w:sz="0" w:space="0" w:color="auto"/>
        <w:right w:val="none" w:sz="0" w:space="0" w:color="auto"/>
      </w:divBdr>
    </w:div>
    <w:div w:id="146669953">
      <w:bodyDiv w:val="1"/>
      <w:marLeft w:val="0"/>
      <w:marRight w:val="0"/>
      <w:marTop w:val="0"/>
      <w:marBottom w:val="0"/>
      <w:divBdr>
        <w:top w:val="none" w:sz="0" w:space="0" w:color="auto"/>
        <w:left w:val="none" w:sz="0" w:space="0" w:color="auto"/>
        <w:bottom w:val="none" w:sz="0" w:space="0" w:color="auto"/>
        <w:right w:val="none" w:sz="0" w:space="0" w:color="auto"/>
      </w:divBdr>
    </w:div>
    <w:div w:id="158078861">
      <w:bodyDiv w:val="1"/>
      <w:marLeft w:val="0"/>
      <w:marRight w:val="0"/>
      <w:marTop w:val="0"/>
      <w:marBottom w:val="0"/>
      <w:divBdr>
        <w:top w:val="none" w:sz="0" w:space="0" w:color="auto"/>
        <w:left w:val="none" w:sz="0" w:space="0" w:color="auto"/>
        <w:bottom w:val="none" w:sz="0" w:space="0" w:color="auto"/>
        <w:right w:val="none" w:sz="0" w:space="0" w:color="auto"/>
      </w:divBdr>
      <w:divsChild>
        <w:div w:id="98181230">
          <w:marLeft w:val="547"/>
          <w:marRight w:val="0"/>
          <w:marTop w:val="134"/>
          <w:marBottom w:val="0"/>
          <w:divBdr>
            <w:top w:val="none" w:sz="0" w:space="0" w:color="auto"/>
            <w:left w:val="none" w:sz="0" w:space="0" w:color="auto"/>
            <w:bottom w:val="none" w:sz="0" w:space="0" w:color="auto"/>
            <w:right w:val="none" w:sz="0" w:space="0" w:color="auto"/>
          </w:divBdr>
        </w:div>
        <w:div w:id="673725710">
          <w:marLeft w:val="547"/>
          <w:marRight w:val="0"/>
          <w:marTop w:val="134"/>
          <w:marBottom w:val="0"/>
          <w:divBdr>
            <w:top w:val="none" w:sz="0" w:space="0" w:color="auto"/>
            <w:left w:val="none" w:sz="0" w:space="0" w:color="auto"/>
            <w:bottom w:val="none" w:sz="0" w:space="0" w:color="auto"/>
            <w:right w:val="none" w:sz="0" w:space="0" w:color="auto"/>
          </w:divBdr>
        </w:div>
        <w:div w:id="1303346527">
          <w:marLeft w:val="547"/>
          <w:marRight w:val="0"/>
          <w:marTop w:val="134"/>
          <w:marBottom w:val="0"/>
          <w:divBdr>
            <w:top w:val="none" w:sz="0" w:space="0" w:color="auto"/>
            <w:left w:val="none" w:sz="0" w:space="0" w:color="auto"/>
            <w:bottom w:val="none" w:sz="0" w:space="0" w:color="auto"/>
            <w:right w:val="none" w:sz="0" w:space="0" w:color="auto"/>
          </w:divBdr>
        </w:div>
        <w:div w:id="1316837479">
          <w:marLeft w:val="547"/>
          <w:marRight w:val="0"/>
          <w:marTop w:val="134"/>
          <w:marBottom w:val="0"/>
          <w:divBdr>
            <w:top w:val="none" w:sz="0" w:space="0" w:color="auto"/>
            <w:left w:val="none" w:sz="0" w:space="0" w:color="auto"/>
            <w:bottom w:val="none" w:sz="0" w:space="0" w:color="auto"/>
            <w:right w:val="none" w:sz="0" w:space="0" w:color="auto"/>
          </w:divBdr>
        </w:div>
        <w:div w:id="1698967415">
          <w:marLeft w:val="547"/>
          <w:marRight w:val="0"/>
          <w:marTop w:val="134"/>
          <w:marBottom w:val="0"/>
          <w:divBdr>
            <w:top w:val="none" w:sz="0" w:space="0" w:color="auto"/>
            <w:left w:val="none" w:sz="0" w:space="0" w:color="auto"/>
            <w:bottom w:val="none" w:sz="0" w:space="0" w:color="auto"/>
            <w:right w:val="none" w:sz="0" w:space="0" w:color="auto"/>
          </w:divBdr>
        </w:div>
      </w:divsChild>
    </w:div>
    <w:div w:id="166134574">
      <w:bodyDiv w:val="1"/>
      <w:marLeft w:val="0"/>
      <w:marRight w:val="0"/>
      <w:marTop w:val="0"/>
      <w:marBottom w:val="0"/>
      <w:divBdr>
        <w:top w:val="none" w:sz="0" w:space="0" w:color="auto"/>
        <w:left w:val="none" w:sz="0" w:space="0" w:color="auto"/>
        <w:bottom w:val="none" w:sz="0" w:space="0" w:color="auto"/>
        <w:right w:val="none" w:sz="0" w:space="0" w:color="auto"/>
      </w:divBdr>
    </w:div>
    <w:div w:id="170265215">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6">
          <w:marLeft w:val="547"/>
          <w:marRight w:val="0"/>
          <w:marTop w:val="134"/>
          <w:marBottom w:val="0"/>
          <w:divBdr>
            <w:top w:val="none" w:sz="0" w:space="0" w:color="auto"/>
            <w:left w:val="none" w:sz="0" w:space="0" w:color="auto"/>
            <w:bottom w:val="none" w:sz="0" w:space="0" w:color="auto"/>
            <w:right w:val="none" w:sz="0" w:space="0" w:color="auto"/>
          </w:divBdr>
        </w:div>
      </w:divsChild>
    </w:div>
    <w:div w:id="170682281">
      <w:bodyDiv w:val="1"/>
      <w:marLeft w:val="0"/>
      <w:marRight w:val="0"/>
      <w:marTop w:val="0"/>
      <w:marBottom w:val="0"/>
      <w:divBdr>
        <w:top w:val="none" w:sz="0" w:space="0" w:color="auto"/>
        <w:left w:val="none" w:sz="0" w:space="0" w:color="auto"/>
        <w:bottom w:val="none" w:sz="0" w:space="0" w:color="auto"/>
        <w:right w:val="none" w:sz="0" w:space="0" w:color="auto"/>
      </w:divBdr>
      <w:divsChild>
        <w:div w:id="611012876">
          <w:marLeft w:val="1800"/>
          <w:marRight w:val="0"/>
          <w:marTop w:val="134"/>
          <w:marBottom w:val="0"/>
          <w:divBdr>
            <w:top w:val="none" w:sz="0" w:space="0" w:color="auto"/>
            <w:left w:val="none" w:sz="0" w:space="0" w:color="auto"/>
            <w:bottom w:val="none" w:sz="0" w:space="0" w:color="auto"/>
            <w:right w:val="none" w:sz="0" w:space="0" w:color="auto"/>
          </w:divBdr>
        </w:div>
        <w:div w:id="1189367917">
          <w:marLeft w:val="1800"/>
          <w:marRight w:val="0"/>
          <w:marTop w:val="134"/>
          <w:marBottom w:val="0"/>
          <w:divBdr>
            <w:top w:val="none" w:sz="0" w:space="0" w:color="auto"/>
            <w:left w:val="none" w:sz="0" w:space="0" w:color="auto"/>
            <w:bottom w:val="none" w:sz="0" w:space="0" w:color="auto"/>
            <w:right w:val="none" w:sz="0" w:space="0" w:color="auto"/>
          </w:divBdr>
        </w:div>
      </w:divsChild>
    </w:div>
    <w:div w:id="197089020">
      <w:bodyDiv w:val="1"/>
      <w:marLeft w:val="0"/>
      <w:marRight w:val="0"/>
      <w:marTop w:val="0"/>
      <w:marBottom w:val="0"/>
      <w:divBdr>
        <w:top w:val="none" w:sz="0" w:space="0" w:color="auto"/>
        <w:left w:val="none" w:sz="0" w:space="0" w:color="auto"/>
        <w:bottom w:val="none" w:sz="0" w:space="0" w:color="auto"/>
        <w:right w:val="none" w:sz="0" w:space="0" w:color="auto"/>
      </w:divBdr>
      <w:divsChild>
        <w:div w:id="433477555">
          <w:marLeft w:val="547"/>
          <w:marRight w:val="0"/>
          <w:marTop w:val="154"/>
          <w:marBottom w:val="0"/>
          <w:divBdr>
            <w:top w:val="none" w:sz="0" w:space="0" w:color="auto"/>
            <w:left w:val="none" w:sz="0" w:space="0" w:color="auto"/>
            <w:bottom w:val="none" w:sz="0" w:space="0" w:color="auto"/>
            <w:right w:val="none" w:sz="0" w:space="0" w:color="auto"/>
          </w:divBdr>
        </w:div>
        <w:div w:id="450251811">
          <w:marLeft w:val="547"/>
          <w:marRight w:val="0"/>
          <w:marTop w:val="154"/>
          <w:marBottom w:val="0"/>
          <w:divBdr>
            <w:top w:val="none" w:sz="0" w:space="0" w:color="auto"/>
            <w:left w:val="none" w:sz="0" w:space="0" w:color="auto"/>
            <w:bottom w:val="none" w:sz="0" w:space="0" w:color="auto"/>
            <w:right w:val="none" w:sz="0" w:space="0" w:color="auto"/>
          </w:divBdr>
        </w:div>
      </w:divsChild>
    </w:div>
    <w:div w:id="201601049">
      <w:bodyDiv w:val="1"/>
      <w:marLeft w:val="0"/>
      <w:marRight w:val="0"/>
      <w:marTop w:val="0"/>
      <w:marBottom w:val="0"/>
      <w:divBdr>
        <w:top w:val="none" w:sz="0" w:space="0" w:color="auto"/>
        <w:left w:val="none" w:sz="0" w:space="0" w:color="auto"/>
        <w:bottom w:val="none" w:sz="0" w:space="0" w:color="auto"/>
        <w:right w:val="none" w:sz="0" w:space="0" w:color="auto"/>
      </w:divBdr>
    </w:div>
    <w:div w:id="212888169">
      <w:bodyDiv w:val="1"/>
      <w:marLeft w:val="0"/>
      <w:marRight w:val="0"/>
      <w:marTop w:val="0"/>
      <w:marBottom w:val="0"/>
      <w:divBdr>
        <w:top w:val="none" w:sz="0" w:space="0" w:color="auto"/>
        <w:left w:val="none" w:sz="0" w:space="0" w:color="auto"/>
        <w:bottom w:val="none" w:sz="0" w:space="0" w:color="auto"/>
        <w:right w:val="none" w:sz="0" w:space="0" w:color="auto"/>
      </w:divBdr>
      <w:divsChild>
        <w:div w:id="299773702">
          <w:marLeft w:val="547"/>
          <w:marRight w:val="0"/>
          <w:marTop w:val="154"/>
          <w:marBottom w:val="0"/>
          <w:divBdr>
            <w:top w:val="none" w:sz="0" w:space="0" w:color="auto"/>
            <w:left w:val="none" w:sz="0" w:space="0" w:color="auto"/>
            <w:bottom w:val="none" w:sz="0" w:space="0" w:color="auto"/>
            <w:right w:val="none" w:sz="0" w:space="0" w:color="auto"/>
          </w:divBdr>
        </w:div>
        <w:div w:id="1032264276">
          <w:marLeft w:val="547"/>
          <w:marRight w:val="0"/>
          <w:marTop w:val="154"/>
          <w:marBottom w:val="0"/>
          <w:divBdr>
            <w:top w:val="none" w:sz="0" w:space="0" w:color="auto"/>
            <w:left w:val="none" w:sz="0" w:space="0" w:color="auto"/>
            <w:bottom w:val="none" w:sz="0" w:space="0" w:color="auto"/>
            <w:right w:val="none" w:sz="0" w:space="0" w:color="auto"/>
          </w:divBdr>
        </w:div>
      </w:divsChild>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231697808">
      <w:bodyDiv w:val="1"/>
      <w:marLeft w:val="0"/>
      <w:marRight w:val="0"/>
      <w:marTop w:val="0"/>
      <w:marBottom w:val="0"/>
      <w:divBdr>
        <w:top w:val="none" w:sz="0" w:space="0" w:color="auto"/>
        <w:left w:val="none" w:sz="0" w:space="0" w:color="auto"/>
        <w:bottom w:val="none" w:sz="0" w:space="0" w:color="auto"/>
        <w:right w:val="none" w:sz="0" w:space="0" w:color="auto"/>
      </w:divBdr>
      <w:divsChild>
        <w:div w:id="1594776175">
          <w:marLeft w:val="547"/>
          <w:marRight w:val="0"/>
          <w:marTop w:val="154"/>
          <w:marBottom w:val="0"/>
          <w:divBdr>
            <w:top w:val="none" w:sz="0" w:space="0" w:color="auto"/>
            <w:left w:val="none" w:sz="0" w:space="0" w:color="auto"/>
            <w:bottom w:val="none" w:sz="0" w:space="0" w:color="auto"/>
            <w:right w:val="none" w:sz="0" w:space="0" w:color="auto"/>
          </w:divBdr>
        </w:div>
        <w:div w:id="1984921102">
          <w:marLeft w:val="547"/>
          <w:marRight w:val="0"/>
          <w:marTop w:val="154"/>
          <w:marBottom w:val="0"/>
          <w:divBdr>
            <w:top w:val="none" w:sz="0" w:space="0" w:color="auto"/>
            <w:left w:val="none" w:sz="0" w:space="0" w:color="auto"/>
            <w:bottom w:val="none" w:sz="0" w:space="0" w:color="auto"/>
            <w:right w:val="none" w:sz="0" w:space="0" w:color="auto"/>
          </w:divBdr>
        </w:div>
      </w:divsChild>
    </w:div>
    <w:div w:id="234516986">
      <w:bodyDiv w:val="1"/>
      <w:marLeft w:val="0"/>
      <w:marRight w:val="0"/>
      <w:marTop w:val="0"/>
      <w:marBottom w:val="0"/>
      <w:divBdr>
        <w:top w:val="none" w:sz="0" w:space="0" w:color="auto"/>
        <w:left w:val="none" w:sz="0" w:space="0" w:color="auto"/>
        <w:bottom w:val="none" w:sz="0" w:space="0" w:color="auto"/>
        <w:right w:val="none" w:sz="0" w:space="0" w:color="auto"/>
      </w:divBdr>
    </w:div>
    <w:div w:id="238058885">
      <w:bodyDiv w:val="1"/>
      <w:marLeft w:val="0"/>
      <w:marRight w:val="0"/>
      <w:marTop w:val="0"/>
      <w:marBottom w:val="0"/>
      <w:divBdr>
        <w:top w:val="none" w:sz="0" w:space="0" w:color="auto"/>
        <w:left w:val="none" w:sz="0" w:space="0" w:color="auto"/>
        <w:bottom w:val="none" w:sz="0" w:space="0" w:color="auto"/>
        <w:right w:val="none" w:sz="0" w:space="0" w:color="auto"/>
      </w:divBdr>
    </w:div>
    <w:div w:id="257252097">
      <w:bodyDiv w:val="1"/>
      <w:marLeft w:val="0"/>
      <w:marRight w:val="0"/>
      <w:marTop w:val="0"/>
      <w:marBottom w:val="0"/>
      <w:divBdr>
        <w:top w:val="none" w:sz="0" w:space="0" w:color="auto"/>
        <w:left w:val="none" w:sz="0" w:space="0" w:color="auto"/>
        <w:bottom w:val="none" w:sz="0" w:space="0" w:color="auto"/>
        <w:right w:val="none" w:sz="0" w:space="0" w:color="auto"/>
      </w:divBdr>
      <w:divsChild>
        <w:div w:id="355428296">
          <w:marLeft w:val="547"/>
          <w:marRight w:val="0"/>
          <w:marTop w:val="115"/>
          <w:marBottom w:val="0"/>
          <w:divBdr>
            <w:top w:val="none" w:sz="0" w:space="0" w:color="auto"/>
            <w:left w:val="none" w:sz="0" w:space="0" w:color="auto"/>
            <w:bottom w:val="none" w:sz="0" w:space="0" w:color="auto"/>
            <w:right w:val="none" w:sz="0" w:space="0" w:color="auto"/>
          </w:divBdr>
        </w:div>
      </w:divsChild>
    </w:div>
    <w:div w:id="257832318">
      <w:bodyDiv w:val="1"/>
      <w:marLeft w:val="0"/>
      <w:marRight w:val="0"/>
      <w:marTop w:val="0"/>
      <w:marBottom w:val="0"/>
      <w:divBdr>
        <w:top w:val="none" w:sz="0" w:space="0" w:color="auto"/>
        <w:left w:val="none" w:sz="0" w:space="0" w:color="auto"/>
        <w:bottom w:val="none" w:sz="0" w:space="0" w:color="auto"/>
        <w:right w:val="none" w:sz="0" w:space="0" w:color="auto"/>
      </w:divBdr>
    </w:div>
    <w:div w:id="284308582">
      <w:bodyDiv w:val="1"/>
      <w:marLeft w:val="0"/>
      <w:marRight w:val="0"/>
      <w:marTop w:val="0"/>
      <w:marBottom w:val="0"/>
      <w:divBdr>
        <w:top w:val="none" w:sz="0" w:space="0" w:color="auto"/>
        <w:left w:val="none" w:sz="0" w:space="0" w:color="auto"/>
        <w:bottom w:val="none" w:sz="0" w:space="0" w:color="auto"/>
        <w:right w:val="none" w:sz="0" w:space="0" w:color="auto"/>
      </w:divBdr>
    </w:div>
    <w:div w:id="340355818">
      <w:bodyDiv w:val="1"/>
      <w:marLeft w:val="0"/>
      <w:marRight w:val="0"/>
      <w:marTop w:val="0"/>
      <w:marBottom w:val="0"/>
      <w:divBdr>
        <w:top w:val="none" w:sz="0" w:space="0" w:color="auto"/>
        <w:left w:val="none" w:sz="0" w:space="0" w:color="auto"/>
        <w:bottom w:val="none" w:sz="0" w:space="0" w:color="auto"/>
        <w:right w:val="none" w:sz="0" w:space="0" w:color="auto"/>
      </w:divBdr>
    </w:div>
    <w:div w:id="357858371">
      <w:bodyDiv w:val="1"/>
      <w:marLeft w:val="0"/>
      <w:marRight w:val="0"/>
      <w:marTop w:val="0"/>
      <w:marBottom w:val="0"/>
      <w:divBdr>
        <w:top w:val="none" w:sz="0" w:space="0" w:color="auto"/>
        <w:left w:val="none" w:sz="0" w:space="0" w:color="auto"/>
        <w:bottom w:val="none" w:sz="0" w:space="0" w:color="auto"/>
        <w:right w:val="none" w:sz="0" w:space="0" w:color="auto"/>
      </w:divBdr>
    </w:div>
    <w:div w:id="380979196">
      <w:bodyDiv w:val="1"/>
      <w:marLeft w:val="0"/>
      <w:marRight w:val="0"/>
      <w:marTop w:val="0"/>
      <w:marBottom w:val="0"/>
      <w:divBdr>
        <w:top w:val="none" w:sz="0" w:space="0" w:color="auto"/>
        <w:left w:val="none" w:sz="0" w:space="0" w:color="auto"/>
        <w:bottom w:val="none" w:sz="0" w:space="0" w:color="auto"/>
        <w:right w:val="none" w:sz="0" w:space="0" w:color="auto"/>
      </w:divBdr>
    </w:div>
    <w:div w:id="397558289">
      <w:bodyDiv w:val="1"/>
      <w:marLeft w:val="0"/>
      <w:marRight w:val="0"/>
      <w:marTop w:val="0"/>
      <w:marBottom w:val="0"/>
      <w:divBdr>
        <w:top w:val="none" w:sz="0" w:space="0" w:color="auto"/>
        <w:left w:val="none" w:sz="0" w:space="0" w:color="auto"/>
        <w:bottom w:val="none" w:sz="0" w:space="0" w:color="auto"/>
        <w:right w:val="none" w:sz="0" w:space="0" w:color="auto"/>
      </w:divBdr>
    </w:div>
    <w:div w:id="405497600">
      <w:bodyDiv w:val="1"/>
      <w:marLeft w:val="0"/>
      <w:marRight w:val="0"/>
      <w:marTop w:val="0"/>
      <w:marBottom w:val="0"/>
      <w:divBdr>
        <w:top w:val="none" w:sz="0" w:space="0" w:color="auto"/>
        <w:left w:val="none" w:sz="0" w:space="0" w:color="auto"/>
        <w:bottom w:val="none" w:sz="0" w:space="0" w:color="auto"/>
        <w:right w:val="none" w:sz="0" w:space="0" w:color="auto"/>
      </w:divBdr>
      <w:divsChild>
        <w:div w:id="574825827">
          <w:marLeft w:val="547"/>
          <w:marRight w:val="0"/>
          <w:marTop w:val="154"/>
          <w:marBottom w:val="0"/>
          <w:divBdr>
            <w:top w:val="none" w:sz="0" w:space="0" w:color="auto"/>
            <w:left w:val="none" w:sz="0" w:space="0" w:color="auto"/>
            <w:bottom w:val="none" w:sz="0" w:space="0" w:color="auto"/>
            <w:right w:val="none" w:sz="0" w:space="0" w:color="auto"/>
          </w:divBdr>
        </w:div>
        <w:div w:id="765467601">
          <w:marLeft w:val="547"/>
          <w:marRight w:val="0"/>
          <w:marTop w:val="154"/>
          <w:marBottom w:val="0"/>
          <w:divBdr>
            <w:top w:val="none" w:sz="0" w:space="0" w:color="auto"/>
            <w:left w:val="none" w:sz="0" w:space="0" w:color="auto"/>
            <w:bottom w:val="none" w:sz="0" w:space="0" w:color="auto"/>
            <w:right w:val="none" w:sz="0" w:space="0" w:color="auto"/>
          </w:divBdr>
        </w:div>
        <w:div w:id="1326205137">
          <w:marLeft w:val="547"/>
          <w:marRight w:val="0"/>
          <w:marTop w:val="154"/>
          <w:marBottom w:val="0"/>
          <w:divBdr>
            <w:top w:val="none" w:sz="0" w:space="0" w:color="auto"/>
            <w:left w:val="none" w:sz="0" w:space="0" w:color="auto"/>
            <w:bottom w:val="none" w:sz="0" w:space="0" w:color="auto"/>
            <w:right w:val="none" w:sz="0" w:space="0" w:color="auto"/>
          </w:divBdr>
        </w:div>
      </w:divsChild>
    </w:div>
    <w:div w:id="414669387">
      <w:bodyDiv w:val="1"/>
      <w:marLeft w:val="0"/>
      <w:marRight w:val="0"/>
      <w:marTop w:val="0"/>
      <w:marBottom w:val="0"/>
      <w:divBdr>
        <w:top w:val="none" w:sz="0" w:space="0" w:color="auto"/>
        <w:left w:val="none" w:sz="0" w:space="0" w:color="auto"/>
        <w:bottom w:val="none" w:sz="0" w:space="0" w:color="auto"/>
        <w:right w:val="none" w:sz="0" w:space="0" w:color="auto"/>
      </w:divBdr>
    </w:div>
    <w:div w:id="429280367">
      <w:bodyDiv w:val="1"/>
      <w:marLeft w:val="0"/>
      <w:marRight w:val="0"/>
      <w:marTop w:val="0"/>
      <w:marBottom w:val="0"/>
      <w:divBdr>
        <w:top w:val="none" w:sz="0" w:space="0" w:color="auto"/>
        <w:left w:val="none" w:sz="0" w:space="0" w:color="auto"/>
        <w:bottom w:val="none" w:sz="0" w:space="0" w:color="auto"/>
        <w:right w:val="none" w:sz="0" w:space="0" w:color="auto"/>
      </w:divBdr>
    </w:div>
    <w:div w:id="462425301">
      <w:bodyDiv w:val="1"/>
      <w:marLeft w:val="0"/>
      <w:marRight w:val="0"/>
      <w:marTop w:val="0"/>
      <w:marBottom w:val="0"/>
      <w:divBdr>
        <w:top w:val="none" w:sz="0" w:space="0" w:color="auto"/>
        <w:left w:val="none" w:sz="0" w:space="0" w:color="auto"/>
        <w:bottom w:val="none" w:sz="0" w:space="0" w:color="auto"/>
        <w:right w:val="none" w:sz="0" w:space="0" w:color="auto"/>
      </w:divBdr>
    </w:div>
    <w:div w:id="572814940">
      <w:bodyDiv w:val="1"/>
      <w:marLeft w:val="0"/>
      <w:marRight w:val="0"/>
      <w:marTop w:val="0"/>
      <w:marBottom w:val="0"/>
      <w:divBdr>
        <w:top w:val="none" w:sz="0" w:space="0" w:color="auto"/>
        <w:left w:val="none" w:sz="0" w:space="0" w:color="auto"/>
        <w:bottom w:val="none" w:sz="0" w:space="0" w:color="auto"/>
        <w:right w:val="none" w:sz="0" w:space="0" w:color="auto"/>
      </w:divBdr>
    </w:div>
    <w:div w:id="583608556">
      <w:bodyDiv w:val="1"/>
      <w:marLeft w:val="0"/>
      <w:marRight w:val="0"/>
      <w:marTop w:val="0"/>
      <w:marBottom w:val="0"/>
      <w:divBdr>
        <w:top w:val="none" w:sz="0" w:space="0" w:color="auto"/>
        <w:left w:val="none" w:sz="0" w:space="0" w:color="auto"/>
        <w:bottom w:val="none" w:sz="0" w:space="0" w:color="auto"/>
        <w:right w:val="none" w:sz="0" w:space="0" w:color="auto"/>
      </w:divBdr>
    </w:div>
    <w:div w:id="585111864">
      <w:bodyDiv w:val="1"/>
      <w:marLeft w:val="0"/>
      <w:marRight w:val="0"/>
      <w:marTop w:val="0"/>
      <w:marBottom w:val="0"/>
      <w:divBdr>
        <w:top w:val="none" w:sz="0" w:space="0" w:color="auto"/>
        <w:left w:val="none" w:sz="0" w:space="0" w:color="auto"/>
        <w:bottom w:val="none" w:sz="0" w:space="0" w:color="auto"/>
        <w:right w:val="none" w:sz="0" w:space="0" w:color="auto"/>
      </w:divBdr>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15795293">
      <w:bodyDiv w:val="1"/>
      <w:marLeft w:val="0"/>
      <w:marRight w:val="0"/>
      <w:marTop w:val="0"/>
      <w:marBottom w:val="0"/>
      <w:divBdr>
        <w:top w:val="none" w:sz="0" w:space="0" w:color="auto"/>
        <w:left w:val="none" w:sz="0" w:space="0" w:color="auto"/>
        <w:bottom w:val="none" w:sz="0" w:space="0" w:color="auto"/>
        <w:right w:val="none" w:sz="0" w:space="0" w:color="auto"/>
      </w:divBdr>
      <w:divsChild>
        <w:div w:id="1014457872">
          <w:marLeft w:val="547"/>
          <w:marRight w:val="0"/>
          <w:marTop w:val="154"/>
          <w:marBottom w:val="0"/>
          <w:divBdr>
            <w:top w:val="none" w:sz="0" w:space="0" w:color="auto"/>
            <w:left w:val="none" w:sz="0" w:space="0" w:color="auto"/>
            <w:bottom w:val="none" w:sz="0" w:space="0" w:color="auto"/>
            <w:right w:val="none" w:sz="0" w:space="0" w:color="auto"/>
          </w:divBdr>
        </w:div>
      </w:divsChild>
    </w:div>
    <w:div w:id="616063147">
      <w:bodyDiv w:val="1"/>
      <w:marLeft w:val="0"/>
      <w:marRight w:val="0"/>
      <w:marTop w:val="0"/>
      <w:marBottom w:val="0"/>
      <w:divBdr>
        <w:top w:val="none" w:sz="0" w:space="0" w:color="auto"/>
        <w:left w:val="none" w:sz="0" w:space="0" w:color="auto"/>
        <w:bottom w:val="none" w:sz="0" w:space="0" w:color="auto"/>
        <w:right w:val="none" w:sz="0" w:space="0" w:color="auto"/>
      </w:divBdr>
    </w:div>
    <w:div w:id="629439892">
      <w:bodyDiv w:val="1"/>
      <w:marLeft w:val="0"/>
      <w:marRight w:val="0"/>
      <w:marTop w:val="0"/>
      <w:marBottom w:val="0"/>
      <w:divBdr>
        <w:top w:val="none" w:sz="0" w:space="0" w:color="auto"/>
        <w:left w:val="none" w:sz="0" w:space="0" w:color="auto"/>
        <w:bottom w:val="none" w:sz="0" w:space="0" w:color="auto"/>
        <w:right w:val="none" w:sz="0" w:space="0" w:color="auto"/>
      </w:divBdr>
    </w:div>
    <w:div w:id="649403428">
      <w:bodyDiv w:val="1"/>
      <w:marLeft w:val="0"/>
      <w:marRight w:val="0"/>
      <w:marTop w:val="0"/>
      <w:marBottom w:val="0"/>
      <w:divBdr>
        <w:top w:val="none" w:sz="0" w:space="0" w:color="auto"/>
        <w:left w:val="none" w:sz="0" w:space="0" w:color="auto"/>
        <w:bottom w:val="none" w:sz="0" w:space="0" w:color="auto"/>
        <w:right w:val="none" w:sz="0" w:space="0" w:color="auto"/>
      </w:divBdr>
    </w:div>
    <w:div w:id="663977767">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sChild>
        <w:div w:id="867373709">
          <w:marLeft w:val="547"/>
          <w:marRight w:val="0"/>
          <w:marTop w:val="154"/>
          <w:marBottom w:val="0"/>
          <w:divBdr>
            <w:top w:val="none" w:sz="0" w:space="0" w:color="auto"/>
            <w:left w:val="none" w:sz="0" w:space="0" w:color="auto"/>
            <w:bottom w:val="none" w:sz="0" w:space="0" w:color="auto"/>
            <w:right w:val="none" w:sz="0" w:space="0" w:color="auto"/>
          </w:divBdr>
        </w:div>
      </w:divsChild>
    </w:div>
    <w:div w:id="701516994">
      <w:bodyDiv w:val="1"/>
      <w:marLeft w:val="0"/>
      <w:marRight w:val="0"/>
      <w:marTop w:val="0"/>
      <w:marBottom w:val="0"/>
      <w:divBdr>
        <w:top w:val="none" w:sz="0" w:space="0" w:color="auto"/>
        <w:left w:val="none" w:sz="0" w:space="0" w:color="auto"/>
        <w:bottom w:val="none" w:sz="0" w:space="0" w:color="auto"/>
        <w:right w:val="none" w:sz="0" w:space="0" w:color="auto"/>
      </w:divBdr>
    </w:div>
    <w:div w:id="735126915">
      <w:bodyDiv w:val="1"/>
      <w:marLeft w:val="0"/>
      <w:marRight w:val="0"/>
      <w:marTop w:val="0"/>
      <w:marBottom w:val="0"/>
      <w:divBdr>
        <w:top w:val="none" w:sz="0" w:space="0" w:color="auto"/>
        <w:left w:val="none" w:sz="0" w:space="0" w:color="auto"/>
        <w:bottom w:val="none" w:sz="0" w:space="0" w:color="auto"/>
        <w:right w:val="none" w:sz="0" w:space="0" w:color="auto"/>
      </w:divBdr>
      <w:divsChild>
        <w:div w:id="109252440">
          <w:marLeft w:val="547"/>
          <w:marRight w:val="0"/>
          <w:marTop w:val="134"/>
          <w:marBottom w:val="0"/>
          <w:divBdr>
            <w:top w:val="none" w:sz="0" w:space="0" w:color="auto"/>
            <w:left w:val="none" w:sz="0" w:space="0" w:color="auto"/>
            <w:bottom w:val="none" w:sz="0" w:space="0" w:color="auto"/>
            <w:right w:val="none" w:sz="0" w:space="0" w:color="auto"/>
          </w:divBdr>
        </w:div>
        <w:div w:id="170486093">
          <w:marLeft w:val="547"/>
          <w:marRight w:val="0"/>
          <w:marTop w:val="134"/>
          <w:marBottom w:val="0"/>
          <w:divBdr>
            <w:top w:val="none" w:sz="0" w:space="0" w:color="auto"/>
            <w:left w:val="none" w:sz="0" w:space="0" w:color="auto"/>
            <w:bottom w:val="none" w:sz="0" w:space="0" w:color="auto"/>
            <w:right w:val="none" w:sz="0" w:space="0" w:color="auto"/>
          </w:divBdr>
        </w:div>
        <w:div w:id="1100877969">
          <w:marLeft w:val="547"/>
          <w:marRight w:val="0"/>
          <w:marTop w:val="134"/>
          <w:marBottom w:val="0"/>
          <w:divBdr>
            <w:top w:val="none" w:sz="0" w:space="0" w:color="auto"/>
            <w:left w:val="none" w:sz="0" w:space="0" w:color="auto"/>
            <w:bottom w:val="none" w:sz="0" w:space="0" w:color="auto"/>
            <w:right w:val="none" w:sz="0" w:space="0" w:color="auto"/>
          </w:divBdr>
        </w:div>
        <w:div w:id="1647854488">
          <w:marLeft w:val="547"/>
          <w:marRight w:val="0"/>
          <w:marTop w:val="134"/>
          <w:marBottom w:val="0"/>
          <w:divBdr>
            <w:top w:val="none" w:sz="0" w:space="0" w:color="auto"/>
            <w:left w:val="none" w:sz="0" w:space="0" w:color="auto"/>
            <w:bottom w:val="none" w:sz="0" w:space="0" w:color="auto"/>
            <w:right w:val="none" w:sz="0" w:space="0" w:color="auto"/>
          </w:divBdr>
        </w:div>
      </w:divsChild>
    </w:div>
    <w:div w:id="741609296">
      <w:bodyDiv w:val="1"/>
      <w:marLeft w:val="0"/>
      <w:marRight w:val="0"/>
      <w:marTop w:val="0"/>
      <w:marBottom w:val="0"/>
      <w:divBdr>
        <w:top w:val="none" w:sz="0" w:space="0" w:color="auto"/>
        <w:left w:val="none" w:sz="0" w:space="0" w:color="auto"/>
        <w:bottom w:val="none" w:sz="0" w:space="0" w:color="auto"/>
        <w:right w:val="none" w:sz="0" w:space="0" w:color="auto"/>
      </w:divBdr>
    </w:div>
    <w:div w:id="751856468">
      <w:bodyDiv w:val="1"/>
      <w:marLeft w:val="0"/>
      <w:marRight w:val="0"/>
      <w:marTop w:val="0"/>
      <w:marBottom w:val="0"/>
      <w:divBdr>
        <w:top w:val="none" w:sz="0" w:space="0" w:color="auto"/>
        <w:left w:val="none" w:sz="0" w:space="0" w:color="auto"/>
        <w:bottom w:val="none" w:sz="0" w:space="0" w:color="auto"/>
        <w:right w:val="none" w:sz="0" w:space="0" w:color="auto"/>
      </w:divBdr>
    </w:div>
    <w:div w:id="753281283">
      <w:bodyDiv w:val="1"/>
      <w:marLeft w:val="0"/>
      <w:marRight w:val="0"/>
      <w:marTop w:val="0"/>
      <w:marBottom w:val="0"/>
      <w:divBdr>
        <w:top w:val="none" w:sz="0" w:space="0" w:color="auto"/>
        <w:left w:val="none" w:sz="0" w:space="0" w:color="auto"/>
        <w:bottom w:val="none" w:sz="0" w:space="0" w:color="auto"/>
        <w:right w:val="none" w:sz="0" w:space="0" w:color="auto"/>
      </w:divBdr>
    </w:div>
    <w:div w:id="758982446">
      <w:bodyDiv w:val="1"/>
      <w:marLeft w:val="0"/>
      <w:marRight w:val="0"/>
      <w:marTop w:val="0"/>
      <w:marBottom w:val="0"/>
      <w:divBdr>
        <w:top w:val="none" w:sz="0" w:space="0" w:color="auto"/>
        <w:left w:val="none" w:sz="0" w:space="0" w:color="auto"/>
        <w:bottom w:val="none" w:sz="0" w:space="0" w:color="auto"/>
        <w:right w:val="none" w:sz="0" w:space="0" w:color="auto"/>
      </w:divBdr>
    </w:div>
    <w:div w:id="763694551">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sChild>
        <w:div w:id="17783310">
          <w:marLeft w:val="1800"/>
          <w:marRight w:val="0"/>
          <w:marTop w:val="115"/>
          <w:marBottom w:val="0"/>
          <w:divBdr>
            <w:top w:val="none" w:sz="0" w:space="0" w:color="auto"/>
            <w:left w:val="none" w:sz="0" w:space="0" w:color="auto"/>
            <w:bottom w:val="none" w:sz="0" w:space="0" w:color="auto"/>
            <w:right w:val="none" w:sz="0" w:space="0" w:color="auto"/>
          </w:divBdr>
        </w:div>
        <w:div w:id="1616597427">
          <w:marLeft w:val="1800"/>
          <w:marRight w:val="0"/>
          <w:marTop w:val="115"/>
          <w:marBottom w:val="0"/>
          <w:divBdr>
            <w:top w:val="none" w:sz="0" w:space="0" w:color="auto"/>
            <w:left w:val="none" w:sz="0" w:space="0" w:color="auto"/>
            <w:bottom w:val="none" w:sz="0" w:space="0" w:color="auto"/>
            <w:right w:val="none" w:sz="0" w:space="0" w:color="auto"/>
          </w:divBdr>
        </w:div>
        <w:div w:id="1806969067">
          <w:marLeft w:val="1800"/>
          <w:marRight w:val="0"/>
          <w:marTop w:val="115"/>
          <w:marBottom w:val="0"/>
          <w:divBdr>
            <w:top w:val="none" w:sz="0" w:space="0" w:color="auto"/>
            <w:left w:val="none" w:sz="0" w:space="0" w:color="auto"/>
            <w:bottom w:val="none" w:sz="0" w:space="0" w:color="auto"/>
            <w:right w:val="none" w:sz="0" w:space="0" w:color="auto"/>
          </w:divBdr>
        </w:div>
        <w:div w:id="1852910613">
          <w:marLeft w:val="1800"/>
          <w:marRight w:val="0"/>
          <w:marTop w:val="115"/>
          <w:marBottom w:val="0"/>
          <w:divBdr>
            <w:top w:val="none" w:sz="0" w:space="0" w:color="auto"/>
            <w:left w:val="none" w:sz="0" w:space="0" w:color="auto"/>
            <w:bottom w:val="none" w:sz="0" w:space="0" w:color="auto"/>
            <w:right w:val="none" w:sz="0" w:space="0" w:color="auto"/>
          </w:divBdr>
        </w:div>
        <w:div w:id="1959749545">
          <w:marLeft w:val="1800"/>
          <w:marRight w:val="0"/>
          <w:marTop w:val="115"/>
          <w:marBottom w:val="0"/>
          <w:divBdr>
            <w:top w:val="none" w:sz="0" w:space="0" w:color="auto"/>
            <w:left w:val="none" w:sz="0" w:space="0" w:color="auto"/>
            <w:bottom w:val="none" w:sz="0" w:space="0" w:color="auto"/>
            <w:right w:val="none" w:sz="0" w:space="0" w:color="auto"/>
          </w:divBdr>
        </w:div>
      </w:divsChild>
    </w:div>
    <w:div w:id="7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339892072">
          <w:marLeft w:val="547"/>
          <w:marRight w:val="0"/>
          <w:marTop w:val="154"/>
          <w:marBottom w:val="0"/>
          <w:divBdr>
            <w:top w:val="none" w:sz="0" w:space="0" w:color="auto"/>
            <w:left w:val="none" w:sz="0" w:space="0" w:color="auto"/>
            <w:bottom w:val="none" w:sz="0" w:space="0" w:color="auto"/>
            <w:right w:val="none" w:sz="0" w:space="0" w:color="auto"/>
          </w:divBdr>
        </w:div>
      </w:divsChild>
    </w:div>
    <w:div w:id="822086550">
      <w:bodyDiv w:val="1"/>
      <w:marLeft w:val="0"/>
      <w:marRight w:val="0"/>
      <w:marTop w:val="0"/>
      <w:marBottom w:val="0"/>
      <w:divBdr>
        <w:top w:val="none" w:sz="0" w:space="0" w:color="auto"/>
        <w:left w:val="none" w:sz="0" w:space="0" w:color="auto"/>
        <w:bottom w:val="none" w:sz="0" w:space="0" w:color="auto"/>
        <w:right w:val="none" w:sz="0" w:space="0" w:color="auto"/>
      </w:divBdr>
    </w:div>
    <w:div w:id="862280274">
      <w:bodyDiv w:val="1"/>
      <w:marLeft w:val="0"/>
      <w:marRight w:val="0"/>
      <w:marTop w:val="0"/>
      <w:marBottom w:val="0"/>
      <w:divBdr>
        <w:top w:val="none" w:sz="0" w:space="0" w:color="auto"/>
        <w:left w:val="none" w:sz="0" w:space="0" w:color="auto"/>
        <w:bottom w:val="none" w:sz="0" w:space="0" w:color="auto"/>
        <w:right w:val="none" w:sz="0" w:space="0" w:color="auto"/>
      </w:divBdr>
    </w:div>
    <w:div w:id="869029977">
      <w:bodyDiv w:val="1"/>
      <w:marLeft w:val="0"/>
      <w:marRight w:val="0"/>
      <w:marTop w:val="0"/>
      <w:marBottom w:val="0"/>
      <w:divBdr>
        <w:top w:val="none" w:sz="0" w:space="0" w:color="auto"/>
        <w:left w:val="none" w:sz="0" w:space="0" w:color="auto"/>
        <w:bottom w:val="none" w:sz="0" w:space="0" w:color="auto"/>
        <w:right w:val="none" w:sz="0" w:space="0" w:color="auto"/>
      </w:divBdr>
    </w:div>
    <w:div w:id="874972987">
      <w:bodyDiv w:val="1"/>
      <w:marLeft w:val="0"/>
      <w:marRight w:val="0"/>
      <w:marTop w:val="0"/>
      <w:marBottom w:val="0"/>
      <w:divBdr>
        <w:top w:val="none" w:sz="0" w:space="0" w:color="auto"/>
        <w:left w:val="none" w:sz="0" w:space="0" w:color="auto"/>
        <w:bottom w:val="none" w:sz="0" w:space="0" w:color="auto"/>
        <w:right w:val="none" w:sz="0" w:space="0" w:color="auto"/>
      </w:divBdr>
      <w:divsChild>
        <w:div w:id="257759677">
          <w:marLeft w:val="1166"/>
          <w:marRight w:val="0"/>
          <w:marTop w:val="134"/>
          <w:marBottom w:val="0"/>
          <w:divBdr>
            <w:top w:val="none" w:sz="0" w:space="0" w:color="auto"/>
            <w:left w:val="none" w:sz="0" w:space="0" w:color="auto"/>
            <w:bottom w:val="none" w:sz="0" w:space="0" w:color="auto"/>
            <w:right w:val="none" w:sz="0" w:space="0" w:color="auto"/>
          </w:divBdr>
        </w:div>
        <w:div w:id="1667199601">
          <w:marLeft w:val="1166"/>
          <w:marRight w:val="0"/>
          <w:marTop w:val="134"/>
          <w:marBottom w:val="0"/>
          <w:divBdr>
            <w:top w:val="none" w:sz="0" w:space="0" w:color="auto"/>
            <w:left w:val="none" w:sz="0" w:space="0" w:color="auto"/>
            <w:bottom w:val="none" w:sz="0" w:space="0" w:color="auto"/>
            <w:right w:val="none" w:sz="0" w:space="0" w:color="auto"/>
          </w:divBdr>
        </w:div>
        <w:div w:id="1770195675">
          <w:marLeft w:val="1166"/>
          <w:marRight w:val="0"/>
          <w:marTop w:val="134"/>
          <w:marBottom w:val="0"/>
          <w:divBdr>
            <w:top w:val="none" w:sz="0" w:space="0" w:color="auto"/>
            <w:left w:val="none" w:sz="0" w:space="0" w:color="auto"/>
            <w:bottom w:val="none" w:sz="0" w:space="0" w:color="auto"/>
            <w:right w:val="none" w:sz="0" w:space="0" w:color="auto"/>
          </w:divBdr>
        </w:div>
        <w:div w:id="1864978345">
          <w:marLeft w:val="1166"/>
          <w:marRight w:val="0"/>
          <w:marTop w:val="134"/>
          <w:marBottom w:val="0"/>
          <w:divBdr>
            <w:top w:val="none" w:sz="0" w:space="0" w:color="auto"/>
            <w:left w:val="none" w:sz="0" w:space="0" w:color="auto"/>
            <w:bottom w:val="none" w:sz="0" w:space="0" w:color="auto"/>
            <w:right w:val="none" w:sz="0" w:space="0" w:color="auto"/>
          </w:divBdr>
        </w:div>
        <w:div w:id="2023972670">
          <w:marLeft w:val="1166"/>
          <w:marRight w:val="0"/>
          <w:marTop w:val="134"/>
          <w:marBottom w:val="0"/>
          <w:divBdr>
            <w:top w:val="none" w:sz="0" w:space="0" w:color="auto"/>
            <w:left w:val="none" w:sz="0" w:space="0" w:color="auto"/>
            <w:bottom w:val="none" w:sz="0" w:space="0" w:color="auto"/>
            <w:right w:val="none" w:sz="0" w:space="0" w:color="auto"/>
          </w:divBdr>
        </w:div>
        <w:div w:id="2087680671">
          <w:marLeft w:val="1166"/>
          <w:marRight w:val="0"/>
          <w:marTop w:val="134"/>
          <w:marBottom w:val="0"/>
          <w:divBdr>
            <w:top w:val="none" w:sz="0" w:space="0" w:color="auto"/>
            <w:left w:val="none" w:sz="0" w:space="0" w:color="auto"/>
            <w:bottom w:val="none" w:sz="0" w:space="0" w:color="auto"/>
            <w:right w:val="none" w:sz="0" w:space="0" w:color="auto"/>
          </w:divBdr>
        </w:div>
      </w:divsChild>
    </w:div>
    <w:div w:id="875044617">
      <w:bodyDiv w:val="1"/>
      <w:marLeft w:val="0"/>
      <w:marRight w:val="0"/>
      <w:marTop w:val="0"/>
      <w:marBottom w:val="0"/>
      <w:divBdr>
        <w:top w:val="none" w:sz="0" w:space="0" w:color="auto"/>
        <w:left w:val="none" w:sz="0" w:space="0" w:color="auto"/>
        <w:bottom w:val="none" w:sz="0" w:space="0" w:color="auto"/>
        <w:right w:val="none" w:sz="0" w:space="0" w:color="auto"/>
      </w:divBdr>
    </w:div>
    <w:div w:id="879587991">
      <w:bodyDiv w:val="1"/>
      <w:marLeft w:val="0"/>
      <w:marRight w:val="0"/>
      <w:marTop w:val="0"/>
      <w:marBottom w:val="0"/>
      <w:divBdr>
        <w:top w:val="none" w:sz="0" w:space="0" w:color="auto"/>
        <w:left w:val="none" w:sz="0" w:space="0" w:color="auto"/>
        <w:bottom w:val="none" w:sz="0" w:space="0" w:color="auto"/>
        <w:right w:val="none" w:sz="0" w:space="0" w:color="auto"/>
      </w:divBdr>
      <w:divsChild>
        <w:div w:id="1196965196">
          <w:marLeft w:val="547"/>
          <w:marRight w:val="0"/>
          <w:marTop w:val="154"/>
          <w:marBottom w:val="0"/>
          <w:divBdr>
            <w:top w:val="none" w:sz="0" w:space="0" w:color="auto"/>
            <w:left w:val="none" w:sz="0" w:space="0" w:color="auto"/>
            <w:bottom w:val="none" w:sz="0" w:space="0" w:color="auto"/>
            <w:right w:val="none" w:sz="0" w:space="0" w:color="auto"/>
          </w:divBdr>
        </w:div>
      </w:divsChild>
    </w:div>
    <w:div w:id="881481409">
      <w:bodyDiv w:val="1"/>
      <w:marLeft w:val="0"/>
      <w:marRight w:val="0"/>
      <w:marTop w:val="0"/>
      <w:marBottom w:val="0"/>
      <w:divBdr>
        <w:top w:val="none" w:sz="0" w:space="0" w:color="auto"/>
        <w:left w:val="none" w:sz="0" w:space="0" w:color="auto"/>
        <w:bottom w:val="none" w:sz="0" w:space="0" w:color="auto"/>
        <w:right w:val="none" w:sz="0" w:space="0" w:color="auto"/>
      </w:divBdr>
    </w:div>
    <w:div w:id="882137381">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sChild>
        <w:div w:id="1155607359">
          <w:marLeft w:val="547"/>
          <w:marRight w:val="0"/>
          <w:marTop w:val="115"/>
          <w:marBottom w:val="0"/>
          <w:divBdr>
            <w:top w:val="none" w:sz="0" w:space="0" w:color="auto"/>
            <w:left w:val="none" w:sz="0" w:space="0" w:color="auto"/>
            <w:bottom w:val="none" w:sz="0" w:space="0" w:color="auto"/>
            <w:right w:val="none" w:sz="0" w:space="0" w:color="auto"/>
          </w:divBdr>
        </w:div>
        <w:div w:id="1264024356">
          <w:marLeft w:val="547"/>
          <w:marRight w:val="0"/>
          <w:marTop w:val="115"/>
          <w:marBottom w:val="0"/>
          <w:divBdr>
            <w:top w:val="none" w:sz="0" w:space="0" w:color="auto"/>
            <w:left w:val="none" w:sz="0" w:space="0" w:color="auto"/>
            <w:bottom w:val="none" w:sz="0" w:space="0" w:color="auto"/>
            <w:right w:val="none" w:sz="0" w:space="0" w:color="auto"/>
          </w:divBdr>
        </w:div>
        <w:div w:id="1460950231">
          <w:marLeft w:val="547"/>
          <w:marRight w:val="0"/>
          <w:marTop w:val="115"/>
          <w:marBottom w:val="0"/>
          <w:divBdr>
            <w:top w:val="none" w:sz="0" w:space="0" w:color="auto"/>
            <w:left w:val="none" w:sz="0" w:space="0" w:color="auto"/>
            <w:bottom w:val="none" w:sz="0" w:space="0" w:color="auto"/>
            <w:right w:val="none" w:sz="0" w:space="0" w:color="auto"/>
          </w:divBdr>
        </w:div>
      </w:divsChild>
    </w:div>
    <w:div w:id="886264175">
      <w:bodyDiv w:val="1"/>
      <w:marLeft w:val="0"/>
      <w:marRight w:val="0"/>
      <w:marTop w:val="0"/>
      <w:marBottom w:val="0"/>
      <w:divBdr>
        <w:top w:val="none" w:sz="0" w:space="0" w:color="auto"/>
        <w:left w:val="none" w:sz="0" w:space="0" w:color="auto"/>
        <w:bottom w:val="none" w:sz="0" w:space="0" w:color="auto"/>
        <w:right w:val="none" w:sz="0" w:space="0" w:color="auto"/>
      </w:divBdr>
    </w:div>
    <w:div w:id="899366089">
      <w:bodyDiv w:val="1"/>
      <w:marLeft w:val="0"/>
      <w:marRight w:val="0"/>
      <w:marTop w:val="0"/>
      <w:marBottom w:val="0"/>
      <w:divBdr>
        <w:top w:val="none" w:sz="0" w:space="0" w:color="auto"/>
        <w:left w:val="none" w:sz="0" w:space="0" w:color="auto"/>
        <w:bottom w:val="none" w:sz="0" w:space="0" w:color="auto"/>
        <w:right w:val="none" w:sz="0" w:space="0" w:color="auto"/>
      </w:divBdr>
      <w:divsChild>
        <w:div w:id="495153582">
          <w:marLeft w:val="547"/>
          <w:marRight w:val="0"/>
          <w:marTop w:val="154"/>
          <w:marBottom w:val="0"/>
          <w:divBdr>
            <w:top w:val="none" w:sz="0" w:space="0" w:color="auto"/>
            <w:left w:val="none" w:sz="0" w:space="0" w:color="auto"/>
            <w:bottom w:val="none" w:sz="0" w:space="0" w:color="auto"/>
            <w:right w:val="none" w:sz="0" w:space="0" w:color="auto"/>
          </w:divBdr>
        </w:div>
        <w:div w:id="1127049815">
          <w:marLeft w:val="547"/>
          <w:marRight w:val="0"/>
          <w:marTop w:val="154"/>
          <w:marBottom w:val="0"/>
          <w:divBdr>
            <w:top w:val="none" w:sz="0" w:space="0" w:color="auto"/>
            <w:left w:val="none" w:sz="0" w:space="0" w:color="auto"/>
            <w:bottom w:val="none" w:sz="0" w:space="0" w:color="auto"/>
            <w:right w:val="none" w:sz="0" w:space="0" w:color="auto"/>
          </w:divBdr>
        </w:div>
      </w:divsChild>
    </w:div>
    <w:div w:id="927689371">
      <w:bodyDiv w:val="1"/>
      <w:marLeft w:val="0"/>
      <w:marRight w:val="0"/>
      <w:marTop w:val="0"/>
      <w:marBottom w:val="0"/>
      <w:divBdr>
        <w:top w:val="none" w:sz="0" w:space="0" w:color="auto"/>
        <w:left w:val="none" w:sz="0" w:space="0" w:color="auto"/>
        <w:bottom w:val="none" w:sz="0" w:space="0" w:color="auto"/>
        <w:right w:val="none" w:sz="0" w:space="0" w:color="auto"/>
      </w:divBdr>
    </w:div>
    <w:div w:id="928349617">
      <w:bodyDiv w:val="1"/>
      <w:marLeft w:val="0"/>
      <w:marRight w:val="0"/>
      <w:marTop w:val="0"/>
      <w:marBottom w:val="0"/>
      <w:divBdr>
        <w:top w:val="none" w:sz="0" w:space="0" w:color="auto"/>
        <w:left w:val="none" w:sz="0" w:space="0" w:color="auto"/>
        <w:bottom w:val="none" w:sz="0" w:space="0" w:color="auto"/>
        <w:right w:val="none" w:sz="0" w:space="0" w:color="auto"/>
      </w:divBdr>
      <w:divsChild>
        <w:div w:id="1319187074">
          <w:marLeft w:val="547"/>
          <w:marRight w:val="0"/>
          <w:marTop w:val="154"/>
          <w:marBottom w:val="0"/>
          <w:divBdr>
            <w:top w:val="none" w:sz="0" w:space="0" w:color="auto"/>
            <w:left w:val="none" w:sz="0" w:space="0" w:color="auto"/>
            <w:bottom w:val="none" w:sz="0" w:space="0" w:color="auto"/>
            <w:right w:val="none" w:sz="0" w:space="0" w:color="auto"/>
          </w:divBdr>
        </w:div>
      </w:divsChild>
    </w:div>
    <w:div w:id="939871459">
      <w:bodyDiv w:val="1"/>
      <w:marLeft w:val="0"/>
      <w:marRight w:val="0"/>
      <w:marTop w:val="0"/>
      <w:marBottom w:val="0"/>
      <w:divBdr>
        <w:top w:val="none" w:sz="0" w:space="0" w:color="auto"/>
        <w:left w:val="none" w:sz="0" w:space="0" w:color="auto"/>
        <w:bottom w:val="none" w:sz="0" w:space="0" w:color="auto"/>
        <w:right w:val="none" w:sz="0" w:space="0" w:color="auto"/>
      </w:divBdr>
      <w:divsChild>
        <w:div w:id="339938700">
          <w:marLeft w:val="547"/>
          <w:marRight w:val="0"/>
          <w:marTop w:val="154"/>
          <w:marBottom w:val="0"/>
          <w:divBdr>
            <w:top w:val="none" w:sz="0" w:space="0" w:color="auto"/>
            <w:left w:val="none" w:sz="0" w:space="0" w:color="auto"/>
            <w:bottom w:val="none" w:sz="0" w:space="0" w:color="auto"/>
            <w:right w:val="none" w:sz="0" w:space="0" w:color="auto"/>
          </w:divBdr>
        </w:div>
        <w:div w:id="946277181">
          <w:marLeft w:val="547"/>
          <w:marRight w:val="0"/>
          <w:marTop w:val="154"/>
          <w:marBottom w:val="0"/>
          <w:divBdr>
            <w:top w:val="none" w:sz="0" w:space="0" w:color="auto"/>
            <w:left w:val="none" w:sz="0" w:space="0" w:color="auto"/>
            <w:bottom w:val="none" w:sz="0" w:space="0" w:color="auto"/>
            <w:right w:val="none" w:sz="0" w:space="0" w:color="auto"/>
          </w:divBdr>
        </w:div>
        <w:div w:id="1214852523">
          <w:marLeft w:val="547"/>
          <w:marRight w:val="0"/>
          <w:marTop w:val="154"/>
          <w:marBottom w:val="0"/>
          <w:divBdr>
            <w:top w:val="none" w:sz="0" w:space="0" w:color="auto"/>
            <w:left w:val="none" w:sz="0" w:space="0" w:color="auto"/>
            <w:bottom w:val="none" w:sz="0" w:space="0" w:color="auto"/>
            <w:right w:val="none" w:sz="0" w:space="0" w:color="auto"/>
          </w:divBdr>
        </w:div>
        <w:div w:id="1521040613">
          <w:marLeft w:val="547"/>
          <w:marRight w:val="0"/>
          <w:marTop w:val="154"/>
          <w:marBottom w:val="0"/>
          <w:divBdr>
            <w:top w:val="none" w:sz="0" w:space="0" w:color="auto"/>
            <w:left w:val="none" w:sz="0" w:space="0" w:color="auto"/>
            <w:bottom w:val="none" w:sz="0" w:space="0" w:color="auto"/>
            <w:right w:val="none" w:sz="0" w:space="0" w:color="auto"/>
          </w:divBdr>
        </w:div>
      </w:divsChild>
    </w:div>
    <w:div w:id="1030228716">
      <w:bodyDiv w:val="1"/>
      <w:marLeft w:val="0"/>
      <w:marRight w:val="0"/>
      <w:marTop w:val="0"/>
      <w:marBottom w:val="0"/>
      <w:divBdr>
        <w:top w:val="none" w:sz="0" w:space="0" w:color="auto"/>
        <w:left w:val="none" w:sz="0" w:space="0" w:color="auto"/>
        <w:bottom w:val="none" w:sz="0" w:space="0" w:color="auto"/>
        <w:right w:val="none" w:sz="0" w:space="0" w:color="auto"/>
      </w:divBdr>
    </w:div>
    <w:div w:id="1091194803">
      <w:bodyDiv w:val="1"/>
      <w:marLeft w:val="0"/>
      <w:marRight w:val="0"/>
      <w:marTop w:val="0"/>
      <w:marBottom w:val="0"/>
      <w:divBdr>
        <w:top w:val="none" w:sz="0" w:space="0" w:color="auto"/>
        <w:left w:val="none" w:sz="0" w:space="0" w:color="auto"/>
        <w:bottom w:val="none" w:sz="0" w:space="0" w:color="auto"/>
        <w:right w:val="none" w:sz="0" w:space="0" w:color="auto"/>
      </w:divBdr>
    </w:div>
    <w:div w:id="1092774661">
      <w:bodyDiv w:val="1"/>
      <w:marLeft w:val="0"/>
      <w:marRight w:val="0"/>
      <w:marTop w:val="0"/>
      <w:marBottom w:val="0"/>
      <w:divBdr>
        <w:top w:val="none" w:sz="0" w:space="0" w:color="auto"/>
        <w:left w:val="none" w:sz="0" w:space="0" w:color="auto"/>
        <w:bottom w:val="none" w:sz="0" w:space="0" w:color="auto"/>
        <w:right w:val="none" w:sz="0" w:space="0" w:color="auto"/>
      </w:divBdr>
      <w:divsChild>
        <w:div w:id="1513182302">
          <w:marLeft w:val="547"/>
          <w:marRight w:val="0"/>
          <w:marTop w:val="154"/>
          <w:marBottom w:val="0"/>
          <w:divBdr>
            <w:top w:val="none" w:sz="0" w:space="0" w:color="auto"/>
            <w:left w:val="none" w:sz="0" w:space="0" w:color="auto"/>
            <w:bottom w:val="none" w:sz="0" w:space="0" w:color="auto"/>
            <w:right w:val="none" w:sz="0" w:space="0" w:color="auto"/>
          </w:divBdr>
        </w:div>
      </w:divsChild>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sChild>
        <w:div w:id="22681712">
          <w:marLeft w:val="1800"/>
          <w:marRight w:val="0"/>
          <w:marTop w:val="134"/>
          <w:marBottom w:val="0"/>
          <w:divBdr>
            <w:top w:val="none" w:sz="0" w:space="0" w:color="auto"/>
            <w:left w:val="none" w:sz="0" w:space="0" w:color="auto"/>
            <w:bottom w:val="none" w:sz="0" w:space="0" w:color="auto"/>
            <w:right w:val="none" w:sz="0" w:space="0" w:color="auto"/>
          </w:divBdr>
        </w:div>
        <w:div w:id="283777783">
          <w:marLeft w:val="1800"/>
          <w:marRight w:val="0"/>
          <w:marTop w:val="134"/>
          <w:marBottom w:val="0"/>
          <w:divBdr>
            <w:top w:val="none" w:sz="0" w:space="0" w:color="auto"/>
            <w:left w:val="none" w:sz="0" w:space="0" w:color="auto"/>
            <w:bottom w:val="none" w:sz="0" w:space="0" w:color="auto"/>
            <w:right w:val="none" w:sz="0" w:space="0" w:color="auto"/>
          </w:divBdr>
        </w:div>
        <w:div w:id="1946569812">
          <w:marLeft w:val="1800"/>
          <w:marRight w:val="0"/>
          <w:marTop w:val="134"/>
          <w:marBottom w:val="0"/>
          <w:divBdr>
            <w:top w:val="none" w:sz="0" w:space="0" w:color="auto"/>
            <w:left w:val="none" w:sz="0" w:space="0" w:color="auto"/>
            <w:bottom w:val="none" w:sz="0" w:space="0" w:color="auto"/>
            <w:right w:val="none" w:sz="0" w:space="0" w:color="auto"/>
          </w:divBdr>
        </w:div>
      </w:divsChild>
    </w:div>
    <w:div w:id="1119644372">
      <w:bodyDiv w:val="1"/>
      <w:marLeft w:val="0"/>
      <w:marRight w:val="0"/>
      <w:marTop w:val="0"/>
      <w:marBottom w:val="0"/>
      <w:divBdr>
        <w:top w:val="none" w:sz="0" w:space="0" w:color="auto"/>
        <w:left w:val="none" w:sz="0" w:space="0" w:color="auto"/>
        <w:bottom w:val="none" w:sz="0" w:space="0" w:color="auto"/>
        <w:right w:val="none" w:sz="0" w:space="0" w:color="auto"/>
      </w:divBdr>
      <w:divsChild>
        <w:div w:id="607346743">
          <w:marLeft w:val="547"/>
          <w:marRight w:val="0"/>
          <w:marTop w:val="115"/>
          <w:marBottom w:val="0"/>
          <w:divBdr>
            <w:top w:val="none" w:sz="0" w:space="0" w:color="auto"/>
            <w:left w:val="none" w:sz="0" w:space="0" w:color="auto"/>
            <w:bottom w:val="none" w:sz="0" w:space="0" w:color="auto"/>
            <w:right w:val="none" w:sz="0" w:space="0" w:color="auto"/>
          </w:divBdr>
        </w:div>
      </w:divsChild>
    </w:div>
    <w:div w:id="1119646466">
      <w:bodyDiv w:val="1"/>
      <w:marLeft w:val="0"/>
      <w:marRight w:val="0"/>
      <w:marTop w:val="0"/>
      <w:marBottom w:val="0"/>
      <w:divBdr>
        <w:top w:val="none" w:sz="0" w:space="0" w:color="auto"/>
        <w:left w:val="none" w:sz="0" w:space="0" w:color="auto"/>
        <w:bottom w:val="none" w:sz="0" w:space="0" w:color="auto"/>
        <w:right w:val="none" w:sz="0" w:space="0" w:color="auto"/>
      </w:divBdr>
      <w:divsChild>
        <w:div w:id="868110017">
          <w:marLeft w:val="547"/>
          <w:marRight w:val="0"/>
          <w:marTop w:val="134"/>
          <w:marBottom w:val="0"/>
          <w:divBdr>
            <w:top w:val="none" w:sz="0" w:space="0" w:color="auto"/>
            <w:left w:val="none" w:sz="0" w:space="0" w:color="auto"/>
            <w:bottom w:val="none" w:sz="0" w:space="0" w:color="auto"/>
            <w:right w:val="none" w:sz="0" w:space="0" w:color="auto"/>
          </w:divBdr>
        </w:div>
        <w:div w:id="1045562718">
          <w:marLeft w:val="547"/>
          <w:marRight w:val="0"/>
          <w:marTop w:val="134"/>
          <w:marBottom w:val="0"/>
          <w:divBdr>
            <w:top w:val="none" w:sz="0" w:space="0" w:color="auto"/>
            <w:left w:val="none" w:sz="0" w:space="0" w:color="auto"/>
            <w:bottom w:val="none" w:sz="0" w:space="0" w:color="auto"/>
            <w:right w:val="none" w:sz="0" w:space="0" w:color="auto"/>
          </w:divBdr>
        </w:div>
        <w:div w:id="1109740668">
          <w:marLeft w:val="547"/>
          <w:marRight w:val="0"/>
          <w:marTop w:val="134"/>
          <w:marBottom w:val="0"/>
          <w:divBdr>
            <w:top w:val="none" w:sz="0" w:space="0" w:color="auto"/>
            <w:left w:val="none" w:sz="0" w:space="0" w:color="auto"/>
            <w:bottom w:val="none" w:sz="0" w:space="0" w:color="auto"/>
            <w:right w:val="none" w:sz="0" w:space="0" w:color="auto"/>
          </w:divBdr>
        </w:div>
        <w:div w:id="1453134958">
          <w:marLeft w:val="547"/>
          <w:marRight w:val="0"/>
          <w:marTop w:val="134"/>
          <w:marBottom w:val="0"/>
          <w:divBdr>
            <w:top w:val="none" w:sz="0" w:space="0" w:color="auto"/>
            <w:left w:val="none" w:sz="0" w:space="0" w:color="auto"/>
            <w:bottom w:val="none" w:sz="0" w:space="0" w:color="auto"/>
            <w:right w:val="none" w:sz="0" w:space="0" w:color="auto"/>
          </w:divBdr>
        </w:div>
        <w:div w:id="1608384850">
          <w:marLeft w:val="547"/>
          <w:marRight w:val="0"/>
          <w:marTop w:val="134"/>
          <w:marBottom w:val="0"/>
          <w:divBdr>
            <w:top w:val="none" w:sz="0" w:space="0" w:color="auto"/>
            <w:left w:val="none" w:sz="0" w:space="0" w:color="auto"/>
            <w:bottom w:val="none" w:sz="0" w:space="0" w:color="auto"/>
            <w:right w:val="none" w:sz="0" w:space="0" w:color="auto"/>
          </w:divBdr>
        </w:div>
      </w:divsChild>
    </w:div>
    <w:div w:id="1154682882">
      <w:bodyDiv w:val="1"/>
      <w:marLeft w:val="0"/>
      <w:marRight w:val="0"/>
      <w:marTop w:val="0"/>
      <w:marBottom w:val="0"/>
      <w:divBdr>
        <w:top w:val="none" w:sz="0" w:space="0" w:color="auto"/>
        <w:left w:val="none" w:sz="0" w:space="0" w:color="auto"/>
        <w:bottom w:val="none" w:sz="0" w:space="0" w:color="auto"/>
        <w:right w:val="none" w:sz="0" w:space="0" w:color="auto"/>
      </w:divBdr>
    </w:div>
    <w:div w:id="1183741153">
      <w:bodyDiv w:val="1"/>
      <w:marLeft w:val="0"/>
      <w:marRight w:val="0"/>
      <w:marTop w:val="0"/>
      <w:marBottom w:val="0"/>
      <w:divBdr>
        <w:top w:val="none" w:sz="0" w:space="0" w:color="auto"/>
        <w:left w:val="none" w:sz="0" w:space="0" w:color="auto"/>
        <w:bottom w:val="none" w:sz="0" w:space="0" w:color="auto"/>
        <w:right w:val="none" w:sz="0" w:space="0" w:color="auto"/>
      </w:divBdr>
    </w:div>
    <w:div w:id="1203440911">
      <w:bodyDiv w:val="1"/>
      <w:marLeft w:val="0"/>
      <w:marRight w:val="0"/>
      <w:marTop w:val="0"/>
      <w:marBottom w:val="0"/>
      <w:divBdr>
        <w:top w:val="none" w:sz="0" w:space="0" w:color="auto"/>
        <w:left w:val="none" w:sz="0" w:space="0" w:color="auto"/>
        <w:bottom w:val="none" w:sz="0" w:space="0" w:color="auto"/>
        <w:right w:val="none" w:sz="0" w:space="0" w:color="auto"/>
      </w:divBdr>
      <w:divsChild>
        <w:div w:id="551230358">
          <w:marLeft w:val="547"/>
          <w:marRight w:val="0"/>
          <w:marTop w:val="134"/>
          <w:marBottom w:val="0"/>
          <w:divBdr>
            <w:top w:val="none" w:sz="0" w:space="0" w:color="auto"/>
            <w:left w:val="none" w:sz="0" w:space="0" w:color="auto"/>
            <w:bottom w:val="none" w:sz="0" w:space="0" w:color="auto"/>
            <w:right w:val="none" w:sz="0" w:space="0" w:color="auto"/>
          </w:divBdr>
        </w:div>
        <w:div w:id="1285038248">
          <w:marLeft w:val="547"/>
          <w:marRight w:val="0"/>
          <w:marTop w:val="134"/>
          <w:marBottom w:val="0"/>
          <w:divBdr>
            <w:top w:val="none" w:sz="0" w:space="0" w:color="auto"/>
            <w:left w:val="none" w:sz="0" w:space="0" w:color="auto"/>
            <w:bottom w:val="none" w:sz="0" w:space="0" w:color="auto"/>
            <w:right w:val="none" w:sz="0" w:space="0" w:color="auto"/>
          </w:divBdr>
        </w:div>
        <w:div w:id="1665821252">
          <w:marLeft w:val="547"/>
          <w:marRight w:val="0"/>
          <w:marTop w:val="134"/>
          <w:marBottom w:val="0"/>
          <w:divBdr>
            <w:top w:val="none" w:sz="0" w:space="0" w:color="auto"/>
            <w:left w:val="none" w:sz="0" w:space="0" w:color="auto"/>
            <w:bottom w:val="none" w:sz="0" w:space="0" w:color="auto"/>
            <w:right w:val="none" w:sz="0" w:space="0" w:color="auto"/>
          </w:divBdr>
        </w:div>
        <w:div w:id="1740057577">
          <w:marLeft w:val="547"/>
          <w:marRight w:val="0"/>
          <w:marTop w:val="134"/>
          <w:marBottom w:val="0"/>
          <w:divBdr>
            <w:top w:val="none" w:sz="0" w:space="0" w:color="auto"/>
            <w:left w:val="none" w:sz="0" w:space="0" w:color="auto"/>
            <w:bottom w:val="none" w:sz="0" w:space="0" w:color="auto"/>
            <w:right w:val="none" w:sz="0" w:space="0" w:color="auto"/>
          </w:divBdr>
        </w:div>
      </w:divsChild>
    </w:div>
    <w:div w:id="1213347110">
      <w:bodyDiv w:val="1"/>
      <w:marLeft w:val="0"/>
      <w:marRight w:val="0"/>
      <w:marTop w:val="0"/>
      <w:marBottom w:val="0"/>
      <w:divBdr>
        <w:top w:val="none" w:sz="0" w:space="0" w:color="auto"/>
        <w:left w:val="none" w:sz="0" w:space="0" w:color="auto"/>
        <w:bottom w:val="none" w:sz="0" w:space="0" w:color="auto"/>
        <w:right w:val="none" w:sz="0" w:space="0" w:color="auto"/>
      </w:divBdr>
      <w:divsChild>
        <w:div w:id="1696466990">
          <w:marLeft w:val="547"/>
          <w:marRight w:val="0"/>
          <w:marTop w:val="115"/>
          <w:marBottom w:val="0"/>
          <w:divBdr>
            <w:top w:val="none" w:sz="0" w:space="0" w:color="auto"/>
            <w:left w:val="none" w:sz="0" w:space="0" w:color="auto"/>
            <w:bottom w:val="none" w:sz="0" w:space="0" w:color="auto"/>
            <w:right w:val="none" w:sz="0" w:space="0" w:color="auto"/>
          </w:divBdr>
        </w:div>
      </w:divsChild>
    </w:div>
    <w:div w:id="1236819108">
      <w:bodyDiv w:val="1"/>
      <w:marLeft w:val="0"/>
      <w:marRight w:val="0"/>
      <w:marTop w:val="0"/>
      <w:marBottom w:val="0"/>
      <w:divBdr>
        <w:top w:val="none" w:sz="0" w:space="0" w:color="auto"/>
        <w:left w:val="none" w:sz="0" w:space="0" w:color="auto"/>
        <w:bottom w:val="none" w:sz="0" w:space="0" w:color="auto"/>
        <w:right w:val="none" w:sz="0" w:space="0" w:color="auto"/>
      </w:divBdr>
    </w:div>
    <w:div w:id="1260524976">
      <w:bodyDiv w:val="1"/>
      <w:marLeft w:val="0"/>
      <w:marRight w:val="0"/>
      <w:marTop w:val="0"/>
      <w:marBottom w:val="0"/>
      <w:divBdr>
        <w:top w:val="none" w:sz="0" w:space="0" w:color="auto"/>
        <w:left w:val="none" w:sz="0" w:space="0" w:color="auto"/>
        <w:bottom w:val="none" w:sz="0" w:space="0" w:color="auto"/>
        <w:right w:val="none" w:sz="0" w:space="0" w:color="auto"/>
      </w:divBdr>
    </w:div>
    <w:div w:id="1267890192">
      <w:bodyDiv w:val="1"/>
      <w:marLeft w:val="0"/>
      <w:marRight w:val="0"/>
      <w:marTop w:val="0"/>
      <w:marBottom w:val="0"/>
      <w:divBdr>
        <w:top w:val="none" w:sz="0" w:space="0" w:color="auto"/>
        <w:left w:val="none" w:sz="0" w:space="0" w:color="auto"/>
        <w:bottom w:val="none" w:sz="0" w:space="0" w:color="auto"/>
        <w:right w:val="none" w:sz="0" w:space="0" w:color="auto"/>
      </w:divBdr>
    </w:div>
    <w:div w:id="1285817023">
      <w:bodyDiv w:val="1"/>
      <w:marLeft w:val="0"/>
      <w:marRight w:val="0"/>
      <w:marTop w:val="0"/>
      <w:marBottom w:val="0"/>
      <w:divBdr>
        <w:top w:val="none" w:sz="0" w:space="0" w:color="auto"/>
        <w:left w:val="none" w:sz="0" w:space="0" w:color="auto"/>
        <w:bottom w:val="none" w:sz="0" w:space="0" w:color="auto"/>
        <w:right w:val="none" w:sz="0" w:space="0" w:color="auto"/>
      </w:divBdr>
      <w:divsChild>
        <w:div w:id="275453865">
          <w:marLeft w:val="547"/>
          <w:marRight w:val="0"/>
          <w:marTop w:val="154"/>
          <w:marBottom w:val="0"/>
          <w:divBdr>
            <w:top w:val="none" w:sz="0" w:space="0" w:color="auto"/>
            <w:left w:val="none" w:sz="0" w:space="0" w:color="auto"/>
            <w:bottom w:val="none" w:sz="0" w:space="0" w:color="auto"/>
            <w:right w:val="none" w:sz="0" w:space="0" w:color="auto"/>
          </w:divBdr>
        </w:div>
      </w:divsChild>
    </w:div>
    <w:div w:id="1293750704">
      <w:bodyDiv w:val="1"/>
      <w:marLeft w:val="0"/>
      <w:marRight w:val="0"/>
      <w:marTop w:val="0"/>
      <w:marBottom w:val="0"/>
      <w:divBdr>
        <w:top w:val="none" w:sz="0" w:space="0" w:color="auto"/>
        <w:left w:val="none" w:sz="0" w:space="0" w:color="auto"/>
        <w:bottom w:val="none" w:sz="0" w:space="0" w:color="auto"/>
        <w:right w:val="none" w:sz="0" w:space="0" w:color="auto"/>
      </w:divBdr>
    </w:div>
    <w:div w:id="1295480075">
      <w:bodyDiv w:val="1"/>
      <w:marLeft w:val="0"/>
      <w:marRight w:val="0"/>
      <w:marTop w:val="0"/>
      <w:marBottom w:val="0"/>
      <w:divBdr>
        <w:top w:val="none" w:sz="0" w:space="0" w:color="auto"/>
        <w:left w:val="none" w:sz="0" w:space="0" w:color="auto"/>
        <w:bottom w:val="none" w:sz="0" w:space="0" w:color="auto"/>
        <w:right w:val="none" w:sz="0" w:space="0" w:color="auto"/>
      </w:divBdr>
    </w:div>
    <w:div w:id="1327781776">
      <w:bodyDiv w:val="1"/>
      <w:marLeft w:val="0"/>
      <w:marRight w:val="0"/>
      <w:marTop w:val="0"/>
      <w:marBottom w:val="0"/>
      <w:divBdr>
        <w:top w:val="none" w:sz="0" w:space="0" w:color="auto"/>
        <w:left w:val="none" w:sz="0" w:space="0" w:color="auto"/>
        <w:bottom w:val="none" w:sz="0" w:space="0" w:color="auto"/>
        <w:right w:val="none" w:sz="0" w:space="0" w:color="auto"/>
      </w:divBdr>
    </w:div>
    <w:div w:id="1341934784">
      <w:bodyDiv w:val="1"/>
      <w:marLeft w:val="0"/>
      <w:marRight w:val="0"/>
      <w:marTop w:val="0"/>
      <w:marBottom w:val="0"/>
      <w:divBdr>
        <w:top w:val="none" w:sz="0" w:space="0" w:color="auto"/>
        <w:left w:val="none" w:sz="0" w:space="0" w:color="auto"/>
        <w:bottom w:val="none" w:sz="0" w:space="0" w:color="auto"/>
        <w:right w:val="none" w:sz="0" w:space="0" w:color="auto"/>
      </w:divBdr>
    </w:div>
    <w:div w:id="1395077978">
      <w:bodyDiv w:val="1"/>
      <w:marLeft w:val="0"/>
      <w:marRight w:val="0"/>
      <w:marTop w:val="0"/>
      <w:marBottom w:val="0"/>
      <w:divBdr>
        <w:top w:val="none" w:sz="0" w:space="0" w:color="auto"/>
        <w:left w:val="none" w:sz="0" w:space="0" w:color="auto"/>
        <w:bottom w:val="none" w:sz="0" w:space="0" w:color="auto"/>
        <w:right w:val="none" w:sz="0" w:space="0" w:color="auto"/>
      </w:divBdr>
    </w:div>
    <w:div w:id="1395811669">
      <w:bodyDiv w:val="1"/>
      <w:marLeft w:val="0"/>
      <w:marRight w:val="0"/>
      <w:marTop w:val="0"/>
      <w:marBottom w:val="0"/>
      <w:divBdr>
        <w:top w:val="none" w:sz="0" w:space="0" w:color="auto"/>
        <w:left w:val="none" w:sz="0" w:space="0" w:color="auto"/>
        <w:bottom w:val="none" w:sz="0" w:space="0" w:color="auto"/>
        <w:right w:val="none" w:sz="0" w:space="0" w:color="auto"/>
      </w:divBdr>
    </w:div>
    <w:div w:id="1404453189">
      <w:bodyDiv w:val="1"/>
      <w:marLeft w:val="0"/>
      <w:marRight w:val="0"/>
      <w:marTop w:val="0"/>
      <w:marBottom w:val="0"/>
      <w:divBdr>
        <w:top w:val="none" w:sz="0" w:space="0" w:color="auto"/>
        <w:left w:val="none" w:sz="0" w:space="0" w:color="auto"/>
        <w:bottom w:val="none" w:sz="0" w:space="0" w:color="auto"/>
        <w:right w:val="none" w:sz="0" w:space="0" w:color="auto"/>
      </w:divBdr>
    </w:div>
    <w:div w:id="1408109138">
      <w:bodyDiv w:val="1"/>
      <w:marLeft w:val="0"/>
      <w:marRight w:val="0"/>
      <w:marTop w:val="0"/>
      <w:marBottom w:val="0"/>
      <w:divBdr>
        <w:top w:val="none" w:sz="0" w:space="0" w:color="auto"/>
        <w:left w:val="none" w:sz="0" w:space="0" w:color="auto"/>
        <w:bottom w:val="none" w:sz="0" w:space="0" w:color="auto"/>
        <w:right w:val="none" w:sz="0" w:space="0" w:color="auto"/>
      </w:divBdr>
    </w:div>
    <w:div w:id="1420909391">
      <w:bodyDiv w:val="1"/>
      <w:marLeft w:val="0"/>
      <w:marRight w:val="0"/>
      <w:marTop w:val="0"/>
      <w:marBottom w:val="0"/>
      <w:divBdr>
        <w:top w:val="none" w:sz="0" w:space="0" w:color="auto"/>
        <w:left w:val="none" w:sz="0" w:space="0" w:color="auto"/>
        <w:bottom w:val="none" w:sz="0" w:space="0" w:color="auto"/>
        <w:right w:val="none" w:sz="0" w:space="0" w:color="auto"/>
      </w:divBdr>
    </w:div>
    <w:div w:id="1426995198">
      <w:bodyDiv w:val="1"/>
      <w:marLeft w:val="0"/>
      <w:marRight w:val="0"/>
      <w:marTop w:val="0"/>
      <w:marBottom w:val="0"/>
      <w:divBdr>
        <w:top w:val="none" w:sz="0" w:space="0" w:color="auto"/>
        <w:left w:val="none" w:sz="0" w:space="0" w:color="auto"/>
        <w:bottom w:val="none" w:sz="0" w:space="0" w:color="auto"/>
        <w:right w:val="none" w:sz="0" w:space="0" w:color="auto"/>
      </w:divBdr>
      <w:divsChild>
        <w:div w:id="204097156">
          <w:marLeft w:val="547"/>
          <w:marRight w:val="0"/>
          <w:marTop w:val="134"/>
          <w:marBottom w:val="0"/>
          <w:divBdr>
            <w:top w:val="none" w:sz="0" w:space="0" w:color="auto"/>
            <w:left w:val="none" w:sz="0" w:space="0" w:color="auto"/>
            <w:bottom w:val="none" w:sz="0" w:space="0" w:color="auto"/>
            <w:right w:val="none" w:sz="0" w:space="0" w:color="auto"/>
          </w:divBdr>
        </w:div>
      </w:divsChild>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sChild>
        <w:div w:id="1753701338">
          <w:marLeft w:val="547"/>
          <w:marRight w:val="0"/>
          <w:marTop w:val="154"/>
          <w:marBottom w:val="0"/>
          <w:divBdr>
            <w:top w:val="none" w:sz="0" w:space="0" w:color="auto"/>
            <w:left w:val="none" w:sz="0" w:space="0" w:color="auto"/>
            <w:bottom w:val="none" w:sz="0" w:space="0" w:color="auto"/>
            <w:right w:val="none" w:sz="0" w:space="0" w:color="auto"/>
          </w:divBdr>
        </w:div>
      </w:divsChild>
    </w:div>
    <w:div w:id="1468010254">
      <w:bodyDiv w:val="1"/>
      <w:marLeft w:val="0"/>
      <w:marRight w:val="0"/>
      <w:marTop w:val="0"/>
      <w:marBottom w:val="0"/>
      <w:divBdr>
        <w:top w:val="none" w:sz="0" w:space="0" w:color="auto"/>
        <w:left w:val="none" w:sz="0" w:space="0" w:color="auto"/>
        <w:bottom w:val="none" w:sz="0" w:space="0" w:color="auto"/>
        <w:right w:val="none" w:sz="0" w:space="0" w:color="auto"/>
      </w:divBdr>
      <w:divsChild>
        <w:div w:id="959144682">
          <w:marLeft w:val="547"/>
          <w:marRight w:val="0"/>
          <w:marTop w:val="154"/>
          <w:marBottom w:val="0"/>
          <w:divBdr>
            <w:top w:val="none" w:sz="0" w:space="0" w:color="auto"/>
            <w:left w:val="none" w:sz="0" w:space="0" w:color="auto"/>
            <w:bottom w:val="none" w:sz="0" w:space="0" w:color="auto"/>
            <w:right w:val="none" w:sz="0" w:space="0" w:color="auto"/>
          </w:divBdr>
        </w:div>
      </w:divsChild>
    </w:div>
    <w:div w:id="1481573673">
      <w:bodyDiv w:val="1"/>
      <w:marLeft w:val="0"/>
      <w:marRight w:val="0"/>
      <w:marTop w:val="0"/>
      <w:marBottom w:val="0"/>
      <w:divBdr>
        <w:top w:val="none" w:sz="0" w:space="0" w:color="auto"/>
        <w:left w:val="none" w:sz="0" w:space="0" w:color="auto"/>
        <w:bottom w:val="none" w:sz="0" w:space="0" w:color="auto"/>
        <w:right w:val="none" w:sz="0" w:space="0" w:color="auto"/>
      </w:divBdr>
    </w:div>
    <w:div w:id="1494907208">
      <w:bodyDiv w:val="1"/>
      <w:marLeft w:val="0"/>
      <w:marRight w:val="0"/>
      <w:marTop w:val="0"/>
      <w:marBottom w:val="0"/>
      <w:divBdr>
        <w:top w:val="none" w:sz="0" w:space="0" w:color="auto"/>
        <w:left w:val="none" w:sz="0" w:space="0" w:color="auto"/>
        <w:bottom w:val="none" w:sz="0" w:space="0" w:color="auto"/>
        <w:right w:val="none" w:sz="0" w:space="0" w:color="auto"/>
      </w:divBdr>
    </w:div>
    <w:div w:id="1525246839">
      <w:bodyDiv w:val="1"/>
      <w:marLeft w:val="0"/>
      <w:marRight w:val="0"/>
      <w:marTop w:val="0"/>
      <w:marBottom w:val="0"/>
      <w:divBdr>
        <w:top w:val="none" w:sz="0" w:space="0" w:color="auto"/>
        <w:left w:val="none" w:sz="0" w:space="0" w:color="auto"/>
        <w:bottom w:val="none" w:sz="0" w:space="0" w:color="auto"/>
        <w:right w:val="none" w:sz="0" w:space="0" w:color="auto"/>
      </w:divBdr>
      <w:divsChild>
        <w:div w:id="1901748587">
          <w:marLeft w:val="547"/>
          <w:marRight w:val="0"/>
          <w:marTop w:val="154"/>
          <w:marBottom w:val="0"/>
          <w:divBdr>
            <w:top w:val="none" w:sz="0" w:space="0" w:color="auto"/>
            <w:left w:val="none" w:sz="0" w:space="0" w:color="auto"/>
            <w:bottom w:val="none" w:sz="0" w:space="0" w:color="auto"/>
            <w:right w:val="none" w:sz="0" w:space="0" w:color="auto"/>
          </w:divBdr>
        </w:div>
      </w:divsChild>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26866734">
      <w:bodyDiv w:val="1"/>
      <w:marLeft w:val="0"/>
      <w:marRight w:val="0"/>
      <w:marTop w:val="0"/>
      <w:marBottom w:val="0"/>
      <w:divBdr>
        <w:top w:val="none" w:sz="0" w:space="0" w:color="auto"/>
        <w:left w:val="none" w:sz="0" w:space="0" w:color="auto"/>
        <w:bottom w:val="none" w:sz="0" w:space="0" w:color="auto"/>
        <w:right w:val="none" w:sz="0" w:space="0" w:color="auto"/>
      </w:divBdr>
    </w:div>
    <w:div w:id="1546791099">
      <w:bodyDiv w:val="1"/>
      <w:marLeft w:val="0"/>
      <w:marRight w:val="0"/>
      <w:marTop w:val="0"/>
      <w:marBottom w:val="0"/>
      <w:divBdr>
        <w:top w:val="none" w:sz="0" w:space="0" w:color="auto"/>
        <w:left w:val="none" w:sz="0" w:space="0" w:color="auto"/>
        <w:bottom w:val="none" w:sz="0" w:space="0" w:color="auto"/>
        <w:right w:val="none" w:sz="0" w:space="0" w:color="auto"/>
      </w:divBdr>
      <w:divsChild>
        <w:div w:id="460660961">
          <w:marLeft w:val="547"/>
          <w:marRight w:val="0"/>
          <w:marTop w:val="134"/>
          <w:marBottom w:val="0"/>
          <w:divBdr>
            <w:top w:val="none" w:sz="0" w:space="0" w:color="auto"/>
            <w:left w:val="none" w:sz="0" w:space="0" w:color="auto"/>
            <w:bottom w:val="none" w:sz="0" w:space="0" w:color="auto"/>
            <w:right w:val="none" w:sz="0" w:space="0" w:color="auto"/>
          </w:divBdr>
        </w:div>
        <w:div w:id="1501114595">
          <w:marLeft w:val="547"/>
          <w:marRight w:val="0"/>
          <w:marTop w:val="134"/>
          <w:marBottom w:val="0"/>
          <w:divBdr>
            <w:top w:val="none" w:sz="0" w:space="0" w:color="auto"/>
            <w:left w:val="none" w:sz="0" w:space="0" w:color="auto"/>
            <w:bottom w:val="none" w:sz="0" w:space="0" w:color="auto"/>
            <w:right w:val="none" w:sz="0" w:space="0" w:color="auto"/>
          </w:divBdr>
        </w:div>
      </w:divsChild>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sChild>
        <w:div w:id="336618337">
          <w:marLeft w:val="547"/>
          <w:marRight w:val="0"/>
          <w:marTop w:val="154"/>
          <w:marBottom w:val="0"/>
          <w:divBdr>
            <w:top w:val="none" w:sz="0" w:space="0" w:color="auto"/>
            <w:left w:val="none" w:sz="0" w:space="0" w:color="auto"/>
            <w:bottom w:val="none" w:sz="0" w:space="0" w:color="auto"/>
            <w:right w:val="none" w:sz="0" w:space="0" w:color="auto"/>
          </w:divBdr>
        </w:div>
        <w:div w:id="767430870">
          <w:marLeft w:val="547"/>
          <w:marRight w:val="0"/>
          <w:marTop w:val="154"/>
          <w:marBottom w:val="0"/>
          <w:divBdr>
            <w:top w:val="none" w:sz="0" w:space="0" w:color="auto"/>
            <w:left w:val="none" w:sz="0" w:space="0" w:color="auto"/>
            <w:bottom w:val="none" w:sz="0" w:space="0" w:color="auto"/>
            <w:right w:val="none" w:sz="0" w:space="0" w:color="auto"/>
          </w:divBdr>
        </w:div>
        <w:div w:id="1913588414">
          <w:marLeft w:val="547"/>
          <w:marRight w:val="0"/>
          <w:marTop w:val="154"/>
          <w:marBottom w:val="0"/>
          <w:divBdr>
            <w:top w:val="none" w:sz="0" w:space="0" w:color="auto"/>
            <w:left w:val="none" w:sz="0" w:space="0" w:color="auto"/>
            <w:bottom w:val="none" w:sz="0" w:space="0" w:color="auto"/>
            <w:right w:val="none" w:sz="0" w:space="0" w:color="auto"/>
          </w:divBdr>
        </w:div>
      </w:divsChild>
    </w:div>
    <w:div w:id="1558860618">
      <w:bodyDiv w:val="1"/>
      <w:marLeft w:val="0"/>
      <w:marRight w:val="0"/>
      <w:marTop w:val="0"/>
      <w:marBottom w:val="0"/>
      <w:divBdr>
        <w:top w:val="none" w:sz="0" w:space="0" w:color="auto"/>
        <w:left w:val="none" w:sz="0" w:space="0" w:color="auto"/>
        <w:bottom w:val="none" w:sz="0" w:space="0" w:color="auto"/>
        <w:right w:val="none" w:sz="0" w:space="0" w:color="auto"/>
      </w:divBdr>
    </w:div>
    <w:div w:id="1580672194">
      <w:bodyDiv w:val="1"/>
      <w:marLeft w:val="0"/>
      <w:marRight w:val="0"/>
      <w:marTop w:val="0"/>
      <w:marBottom w:val="0"/>
      <w:divBdr>
        <w:top w:val="none" w:sz="0" w:space="0" w:color="auto"/>
        <w:left w:val="none" w:sz="0" w:space="0" w:color="auto"/>
        <w:bottom w:val="none" w:sz="0" w:space="0" w:color="auto"/>
        <w:right w:val="none" w:sz="0" w:space="0" w:color="auto"/>
      </w:divBdr>
      <w:divsChild>
        <w:div w:id="859667418">
          <w:marLeft w:val="547"/>
          <w:marRight w:val="0"/>
          <w:marTop w:val="134"/>
          <w:marBottom w:val="0"/>
          <w:divBdr>
            <w:top w:val="none" w:sz="0" w:space="0" w:color="auto"/>
            <w:left w:val="none" w:sz="0" w:space="0" w:color="auto"/>
            <w:bottom w:val="none" w:sz="0" w:space="0" w:color="auto"/>
            <w:right w:val="none" w:sz="0" w:space="0" w:color="auto"/>
          </w:divBdr>
        </w:div>
        <w:div w:id="1766225987">
          <w:marLeft w:val="547"/>
          <w:marRight w:val="0"/>
          <w:marTop w:val="134"/>
          <w:marBottom w:val="0"/>
          <w:divBdr>
            <w:top w:val="none" w:sz="0" w:space="0" w:color="auto"/>
            <w:left w:val="none" w:sz="0" w:space="0" w:color="auto"/>
            <w:bottom w:val="none" w:sz="0" w:space="0" w:color="auto"/>
            <w:right w:val="none" w:sz="0" w:space="0" w:color="auto"/>
          </w:divBdr>
        </w:div>
        <w:div w:id="1978758619">
          <w:marLeft w:val="547"/>
          <w:marRight w:val="0"/>
          <w:marTop w:val="134"/>
          <w:marBottom w:val="0"/>
          <w:divBdr>
            <w:top w:val="none" w:sz="0" w:space="0" w:color="auto"/>
            <w:left w:val="none" w:sz="0" w:space="0" w:color="auto"/>
            <w:bottom w:val="none" w:sz="0" w:space="0" w:color="auto"/>
            <w:right w:val="none" w:sz="0" w:space="0" w:color="auto"/>
          </w:divBdr>
        </w:div>
        <w:div w:id="2094547441">
          <w:marLeft w:val="547"/>
          <w:marRight w:val="0"/>
          <w:marTop w:val="134"/>
          <w:marBottom w:val="0"/>
          <w:divBdr>
            <w:top w:val="none" w:sz="0" w:space="0" w:color="auto"/>
            <w:left w:val="none" w:sz="0" w:space="0" w:color="auto"/>
            <w:bottom w:val="none" w:sz="0" w:space="0" w:color="auto"/>
            <w:right w:val="none" w:sz="0" w:space="0" w:color="auto"/>
          </w:divBdr>
        </w:div>
        <w:div w:id="2100323822">
          <w:marLeft w:val="547"/>
          <w:marRight w:val="0"/>
          <w:marTop w:val="134"/>
          <w:marBottom w:val="0"/>
          <w:divBdr>
            <w:top w:val="none" w:sz="0" w:space="0" w:color="auto"/>
            <w:left w:val="none" w:sz="0" w:space="0" w:color="auto"/>
            <w:bottom w:val="none" w:sz="0" w:space="0" w:color="auto"/>
            <w:right w:val="none" w:sz="0" w:space="0" w:color="auto"/>
          </w:divBdr>
        </w:div>
      </w:divsChild>
    </w:div>
    <w:div w:id="1597401031">
      <w:bodyDiv w:val="1"/>
      <w:marLeft w:val="0"/>
      <w:marRight w:val="0"/>
      <w:marTop w:val="0"/>
      <w:marBottom w:val="0"/>
      <w:divBdr>
        <w:top w:val="none" w:sz="0" w:space="0" w:color="auto"/>
        <w:left w:val="none" w:sz="0" w:space="0" w:color="auto"/>
        <w:bottom w:val="none" w:sz="0" w:space="0" w:color="auto"/>
        <w:right w:val="none" w:sz="0" w:space="0" w:color="auto"/>
      </w:divBdr>
      <w:divsChild>
        <w:div w:id="1675374889">
          <w:marLeft w:val="547"/>
          <w:marRight w:val="0"/>
          <w:marTop w:val="154"/>
          <w:marBottom w:val="0"/>
          <w:divBdr>
            <w:top w:val="none" w:sz="0" w:space="0" w:color="auto"/>
            <w:left w:val="none" w:sz="0" w:space="0" w:color="auto"/>
            <w:bottom w:val="none" w:sz="0" w:space="0" w:color="auto"/>
            <w:right w:val="none" w:sz="0" w:space="0" w:color="auto"/>
          </w:divBdr>
        </w:div>
        <w:div w:id="1996105266">
          <w:marLeft w:val="547"/>
          <w:marRight w:val="0"/>
          <w:marTop w:val="154"/>
          <w:marBottom w:val="0"/>
          <w:divBdr>
            <w:top w:val="none" w:sz="0" w:space="0" w:color="auto"/>
            <w:left w:val="none" w:sz="0" w:space="0" w:color="auto"/>
            <w:bottom w:val="none" w:sz="0" w:space="0" w:color="auto"/>
            <w:right w:val="none" w:sz="0" w:space="0" w:color="auto"/>
          </w:divBdr>
        </w:div>
      </w:divsChild>
    </w:div>
    <w:div w:id="1606886232">
      <w:bodyDiv w:val="1"/>
      <w:marLeft w:val="0"/>
      <w:marRight w:val="0"/>
      <w:marTop w:val="0"/>
      <w:marBottom w:val="0"/>
      <w:divBdr>
        <w:top w:val="none" w:sz="0" w:space="0" w:color="auto"/>
        <w:left w:val="none" w:sz="0" w:space="0" w:color="auto"/>
        <w:bottom w:val="none" w:sz="0" w:space="0" w:color="auto"/>
        <w:right w:val="none" w:sz="0" w:space="0" w:color="auto"/>
      </w:divBdr>
    </w:div>
    <w:div w:id="1607695552">
      <w:bodyDiv w:val="1"/>
      <w:marLeft w:val="0"/>
      <w:marRight w:val="0"/>
      <w:marTop w:val="0"/>
      <w:marBottom w:val="0"/>
      <w:divBdr>
        <w:top w:val="none" w:sz="0" w:space="0" w:color="auto"/>
        <w:left w:val="none" w:sz="0" w:space="0" w:color="auto"/>
        <w:bottom w:val="none" w:sz="0" w:space="0" w:color="auto"/>
        <w:right w:val="none" w:sz="0" w:space="0" w:color="auto"/>
      </w:divBdr>
      <w:divsChild>
        <w:div w:id="1177574359">
          <w:marLeft w:val="547"/>
          <w:marRight w:val="0"/>
          <w:marTop w:val="154"/>
          <w:marBottom w:val="0"/>
          <w:divBdr>
            <w:top w:val="none" w:sz="0" w:space="0" w:color="auto"/>
            <w:left w:val="none" w:sz="0" w:space="0" w:color="auto"/>
            <w:bottom w:val="none" w:sz="0" w:space="0" w:color="auto"/>
            <w:right w:val="none" w:sz="0" w:space="0" w:color="auto"/>
          </w:divBdr>
        </w:div>
      </w:divsChild>
    </w:div>
    <w:div w:id="1627854539">
      <w:bodyDiv w:val="1"/>
      <w:marLeft w:val="0"/>
      <w:marRight w:val="0"/>
      <w:marTop w:val="0"/>
      <w:marBottom w:val="0"/>
      <w:divBdr>
        <w:top w:val="none" w:sz="0" w:space="0" w:color="auto"/>
        <w:left w:val="none" w:sz="0" w:space="0" w:color="auto"/>
        <w:bottom w:val="none" w:sz="0" w:space="0" w:color="auto"/>
        <w:right w:val="none" w:sz="0" w:space="0" w:color="auto"/>
      </w:divBdr>
    </w:div>
    <w:div w:id="1630237835">
      <w:bodyDiv w:val="1"/>
      <w:marLeft w:val="0"/>
      <w:marRight w:val="0"/>
      <w:marTop w:val="0"/>
      <w:marBottom w:val="0"/>
      <w:divBdr>
        <w:top w:val="none" w:sz="0" w:space="0" w:color="auto"/>
        <w:left w:val="none" w:sz="0" w:space="0" w:color="auto"/>
        <w:bottom w:val="none" w:sz="0" w:space="0" w:color="auto"/>
        <w:right w:val="none" w:sz="0" w:space="0" w:color="auto"/>
      </w:divBdr>
      <w:divsChild>
        <w:div w:id="772896418">
          <w:marLeft w:val="547"/>
          <w:marRight w:val="0"/>
          <w:marTop w:val="134"/>
          <w:marBottom w:val="0"/>
          <w:divBdr>
            <w:top w:val="none" w:sz="0" w:space="0" w:color="auto"/>
            <w:left w:val="none" w:sz="0" w:space="0" w:color="auto"/>
            <w:bottom w:val="none" w:sz="0" w:space="0" w:color="auto"/>
            <w:right w:val="none" w:sz="0" w:space="0" w:color="auto"/>
          </w:divBdr>
        </w:div>
      </w:divsChild>
    </w:div>
    <w:div w:id="1632133802">
      <w:bodyDiv w:val="1"/>
      <w:marLeft w:val="0"/>
      <w:marRight w:val="0"/>
      <w:marTop w:val="0"/>
      <w:marBottom w:val="0"/>
      <w:divBdr>
        <w:top w:val="none" w:sz="0" w:space="0" w:color="auto"/>
        <w:left w:val="none" w:sz="0" w:space="0" w:color="auto"/>
        <w:bottom w:val="none" w:sz="0" w:space="0" w:color="auto"/>
        <w:right w:val="none" w:sz="0" w:space="0" w:color="auto"/>
      </w:divBdr>
      <w:divsChild>
        <w:div w:id="1451824919">
          <w:marLeft w:val="547"/>
          <w:marRight w:val="0"/>
          <w:marTop w:val="154"/>
          <w:marBottom w:val="0"/>
          <w:divBdr>
            <w:top w:val="none" w:sz="0" w:space="0" w:color="auto"/>
            <w:left w:val="none" w:sz="0" w:space="0" w:color="auto"/>
            <w:bottom w:val="none" w:sz="0" w:space="0" w:color="auto"/>
            <w:right w:val="none" w:sz="0" w:space="0" w:color="auto"/>
          </w:divBdr>
        </w:div>
      </w:divsChild>
    </w:div>
    <w:div w:id="1651862489">
      <w:bodyDiv w:val="1"/>
      <w:marLeft w:val="0"/>
      <w:marRight w:val="0"/>
      <w:marTop w:val="0"/>
      <w:marBottom w:val="0"/>
      <w:divBdr>
        <w:top w:val="none" w:sz="0" w:space="0" w:color="auto"/>
        <w:left w:val="none" w:sz="0" w:space="0" w:color="auto"/>
        <w:bottom w:val="none" w:sz="0" w:space="0" w:color="auto"/>
        <w:right w:val="none" w:sz="0" w:space="0" w:color="auto"/>
      </w:divBdr>
      <w:divsChild>
        <w:div w:id="692997071">
          <w:marLeft w:val="547"/>
          <w:marRight w:val="0"/>
          <w:marTop w:val="154"/>
          <w:marBottom w:val="0"/>
          <w:divBdr>
            <w:top w:val="none" w:sz="0" w:space="0" w:color="auto"/>
            <w:left w:val="none" w:sz="0" w:space="0" w:color="auto"/>
            <w:bottom w:val="none" w:sz="0" w:space="0" w:color="auto"/>
            <w:right w:val="none" w:sz="0" w:space="0" w:color="auto"/>
          </w:divBdr>
        </w:div>
        <w:div w:id="856850370">
          <w:marLeft w:val="547"/>
          <w:marRight w:val="0"/>
          <w:marTop w:val="154"/>
          <w:marBottom w:val="0"/>
          <w:divBdr>
            <w:top w:val="none" w:sz="0" w:space="0" w:color="auto"/>
            <w:left w:val="none" w:sz="0" w:space="0" w:color="auto"/>
            <w:bottom w:val="none" w:sz="0" w:space="0" w:color="auto"/>
            <w:right w:val="none" w:sz="0" w:space="0" w:color="auto"/>
          </w:divBdr>
        </w:div>
        <w:div w:id="1934051328">
          <w:marLeft w:val="547"/>
          <w:marRight w:val="0"/>
          <w:marTop w:val="154"/>
          <w:marBottom w:val="0"/>
          <w:divBdr>
            <w:top w:val="none" w:sz="0" w:space="0" w:color="auto"/>
            <w:left w:val="none" w:sz="0" w:space="0" w:color="auto"/>
            <w:bottom w:val="none" w:sz="0" w:space="0" w:color="auto"/>
            <w:right w:val="none" w:sz="0" w:space="0" w:color="auto"/>
          </w:divBdr>
        </w:div>
      </w:divsChild>
    </w:div>
    <w:div w:id="1657031814">
      <w:bodyDiv w:val="1"/>
      <w:marLeft w:val="0"/>
      <w:marRight w:val="0"/>
      <w:marTop w:val="0"/>
      <w:marBottom w:val="0"/>
      <w:divBdr>
        <w:top w:val="none" w:sz="0" w:space="0" w:color="auto"/>
        <w:left w:val="none" w:sz="0" w:space="0" w:color="auto"/>
        <w:bottom w:val="none" w:sz="0" w:space="0" w:color="auto"/>
        <w:right w:val="none" w:sz="0" w:space="0" w:color="auto"/>
      </w:divBdr>
      <w:divsChild>
        <w:div w:id="165948099">
          <w:marLeft w:val="1800"/>
          <w:marRight w:val="0"/>
          <w:marTop w:val="134"/>
          <w:marBottom w:val="0"/>
          <w:divBdr>
            <w:top w:val="none" w:sz="0" w:space="0" w:color="auto"/>
            <w:left w:val="none" w:sz="0" w:space="0" w:color="auto"/>
            <w:bottom w:val="none" w:sz="0" w:space="0" w:color="auto"/>
            <w:right w:val="none" w:sz="0" w:space="0" w:color="auto"/>
          </w:divBdr>
        </w:div>
        <w:div w:id="240792235">
          <w:marLeft w:val="1800"/>
          <w:marRight w:val="0"/>
          <w:marTop w:val="134"/>
          <w:marBottom w:val="0"/>
          <w:divBdr>
            <w:top w:val="none" w:sz="0" w:space="0" w:color="auto"/>
            <w:left w:val="none" w:sz="0" w:space="0" w:color="auto"/>
            <w:bottom w:val="none" w:sz="0" w:space="0" w:color="auto"/>
            <w:right w:val="none" w:sz="0" w:space="0" w:color="auto"/>
          </w:divBdr>
        </w:div>
        <w:div w:id="1501971718">
          <w:marLeft w:val="1800"/>
          <w:marRight w:val="0"/>
          <w:marTop w:val="134"/>
          <w:marBottom w:val="0"/>
          <w:divBdr>
            <w:top w:val="none" w:sz="0" w:space="0" w:color="auto"/>
            <w:left w:val="none" w:sz="0" w:space="0" w:color="auto"/>
            <w:bottom w:val="none" w:sz="0" w:space="0" w:color="auto"/>
            <w:right w:val="none" w:sz="0" w:space="0" w:color="auto"/>
          </w:divBdr>
        </w:div>
      </w:divsChild>
    </w:div>
    <w:div w:id="1665817564">
      <w:bodyDiv w:val="1"/>
      <w:marLeft w:val="0"/>
      <w:marRight w:val="0"/>
      <w:marTop w:val="0"/>
      <w:marBottom w:val="0"/>
      <w:divBdr>
        <w:top w:val="none" w:sz="0" w:space="0" w:color="auto"/>
        <w:left w:val="none" w:sz="0" w:space="0" w:color="auto"/>
        <w:bottom w:val="none" w:sz="0" w:space="0" w:color="auto"/>
        <w:right w:val="none" w:sz="0" w:space="0" w:color="auto"/>
      </w:divBdr>
    </w:div>
    <w:div w:id="1672639638">
      <w:bodyDiv w:val="1"/>
      <w:marLeft w:val="0"/>
      <w:marRight w:val="0"/>
      <w:marTop w:val="0"/>
      <w:marBottom w:val="0"/>
      <w:divBdr>
        <w:top w:val="none" w:sz="0" w:space="0" w:color="auto"/>
        <w:left w:val="none" w:sz="0" w:space="0" w:color="auto"/>
        <w:bottom w:val="none" w:sz="0" w:space="0" w:color="auto"/>
        <w:right w:val="none" w:sz="0" w:space="0" w:color="auto"/>
      </w:divBdr>
      <w:divsChild>
        <w:div w:id="110439600">
          <w:marLeft w:val="547"/>
          <w:marRight w:val="0"/>
          <w:marTop w:val="115"/>
          <w:marBottom w:val="0"/>
          <w:divBdr>
            <w:top w:val="none" w:sz="0" w:space="0" w:color="auto"/>
            <w:left w:val="none" w:sz="0" w:space="0" w:color="auto"/>
            <w:bottom w:val="none" w:sz="0" w:space="0" w:color="auto"/>
            <w:right w:val="none" w:sz="0" w:space="0" w:color="auto"/>
          </w:divBdr>
        </w:div>
        <w:div w:id="1654993093">
          <w:marLeft w:val="547"/>
          <w:marRight w:val="0"/>
          <w:marTop w:val="115"/>
          <w:marBottom w:val="0"/>
          <w:divBdr>
            <w:top w:val="none" w:sz="0" w:space="0" w:color="auto"/>
            <w:left w:val="none" w:sz="0" w:space="0" w:color="auto"/>
            <w:bottom w:val="none" w:sz="0" w:space="0" w:color="auto"/>
            <w:right w:val="none" w:sz="0" w:space="0" w:color="auto"/>
          </w:divBdr>
        </w:div>
      </w:divsChild>
    </w:div>
    <w:div w:id="1675067134">
      <w:bodyDiv w:val="1"/>
      <w:marLeft w:val="0"/>
      <w:marRight w:val="0"/>
      <w:marTop w:val="0"/>
      <w:marBottom w:val="0"/>
      <w:divBdr>
        <w:top w:val="none" w:sz="0" w:space="0" w:color="auto"/>
        <w:left w:val="none" w:sz="0" w:space="0" w:color="auto"/>
        <w:bottom w:val="none" w:sz="0" w:space="0" w:color="auto"/>
        <w:right w:val="none" w:sz="0" w:space="0" w:color="auto"/>
      </w:divBdr>
    </w:div>
    <w:div w:id="1689452988">
      <w:bodyDiv w:val="1"/>
      <w:marLeft w:val="0"/>
      <w:marRight w:val="0"/>
      <w:marTop w:val="0"/>
      <w:marBottom w:val="0"/>
      <w:divBdr>
        <w:top w:val="none" w:sz="0" w:space="0" w:color="auto"/>
        <w:left w:val="none" w:sz="0" w:space="0" w:color="auto"/>
        <w:bottom w:val="none" w:sz="0" w:space="0" w:color="auto"/>
        <w:right w:val="none" w:sz="0" w:space="0" w:color="auto"/>
      </w:divBdr>
      <w:divsChild>
        <w:div w:id="259997173">
          <w:marLeft w:val="547"/>
          <w:marRight w:val="0"/>
          <w:marTop w:val="96"/>
          <w:marBottom w:val="0"/>
          <w:divBdr>
            <w:top w:val="none" w:sz="0" w:space="0" w:color="auto"/>
            <w:left w:val="none" w:sz="0" w:space="0" w:color="auto"/>
            <w:bottom w:val="none" w:sz="0" w:space="0" w:color="auto"/>
            <w:right w:val="none" w:sz="0" w:space="0" w:color="auto"/>
          </w:divBdr>
        </w:div>
        <w:div w:id="260188828">
          <w:marLeft w:val="547"/>
          <w:marRight w:val="0"/>
          <w:marTop w:val="96"/>
          <w:marBottom w:val="0"/>
          <w:divBdr>
            <w:top w:val="none" w:sz="0" w:space="0" w:color="auto"/>
            <w:left w:val="none" w:sz="0" w:space="0" w:color="auto"/>
            <w:bottom w:val="none" w:sz="0" w:space="0" w:color="auto"/>
            <w:right w:val="none" w:sz="0" w:space="0" w:color="auto"/>
          </w:divBdr>
        </w:div>
        <w:div w:id="566454180">
          <w:marLeft w:val="547"/>
          <w:marRight w:val="0"/>
          <w:marTop w:val="96"/>
          <w:marBottom w:val="0"/>
          <w:divBdr>
            <w:top w:val="none" w:sz="0" w:space="0" w:color="auto"/>
            <w:left w:val="none" w:sz="0" w:space="0" w:color="auto"/>
            <w:bottom w:val="none" w:sz="0" w:space="0" w:color="auto"/>
            <w:right w:val="none" w:sz="0" w:space="0" w:color="auto"/>
          </w:divBdr>
        </w:div>
        <w:div w:id="626349091">
          <w:marLeft w:val="547"/>
          <w:marRight w:val="0"/>
          <w:marTop w:val="96"/>
          <w:marBottom w:val="0"/>
          <w:divBdr>
            <w:top w:val="none" w:sz="0" w:space="0" w:color="auto"/>
            <w:left w:val="none" w:sz="0" w:space="0" w:color="auto"/>
            <w:bottom w:val="none" w:sz="0" w:space="0" w:color="auto"/>
            <w:right w:val="none" w:sz="0" w:space="0" w:color="auto"/>
          </w:divBdr>
        </w:div>
        <w:div w:id="933709205">
          <w:marLeft w:val="547"/>
          <w:marRight w:val="0"/>
          <w:marTop w:val="96"/>
          <w:marBottom w:val="0"/>
          <w:divBdr>
            <w:top w:val="none" w:sz="0" w:space="0" w:color="auto"/>
            <w:left w:val="none" w:sz="0" w:space="0" w:color="auto"/>
            <w:bottom w:val="none" w:sz="0" w:space="0" w:color="auto"/>
            <w:right w:val="none" w:sz="0" w:space="0" w:color="auto"/>
          </w:divBdr>
        </w:div>
        <w:div w:id="1315448528">
          <w:marLeft w:val="547"/>
          <w:marRight w:val="0"/>
          <w:marTop w:val="96"/>
          <w:marBottom w:val="0"/>
          <w:divBdr>
            <w:top w:val="none" w:sz="0" w:space="0" w:color="auto"/>
            <w:left w:val="none" w:sz="0" w:space="0" w:color="auto"/>
            <w:bottom w:val="none" w:sz="0" w:space="0" w:color="auto"/>
            <w:right w:val="none" w:sz="0" w:space="0" w:color="auto"/>
          </w:divBdr>
        </w:div>
        <w:div w:id="1788353951">
          <w:marLeft w:val="547"/>
          <w:marRight w:val="0"/>
          <w:marTop w:val="96"/>
          <w:marBottom w:val="0"/>
          <w:divBdr>
            <w:top w:val="none" w:sz="0" w:space="0" w:color="auto"/>
            <w:left w:val="none" w:sz="0" w:space="0" w:color="auto"/>
            <w:bottom w:val="none" w:sz="0" w:space="0" w:color="auto"/>
            <w:right w:val="none" w:sz="0" w:space="0" w:color="auto"/>
          </w:divBdr>
        </w:div>
        <w:div w:id="1797290664">
          <w:marLeft w:val="547"/>
          <w:marRight w:val="0"/>
          <w:marTop w:val="96"/>
          <w:marBottom w:val="0"/>
          <w:divBdr>
            <w:top w:val="none" w:sz="0" w:space="0" w:color="auto"/>
            <w:left w:val="none" w:sz="0" w:space="0" w:color="auto"/>
            <w:bottom w:val="none" w:sz="0" w:space="0" w:color="auto"/>
            <w:right w:val="none" w:sz="0" w:space="0" w:color="auto"/>
          </w:divBdr>
        </w:div>
      </w:divsChild>
    </w:div>
    <w:div w:id="1699697900">
      <w:bodyDiv w:val="1"/>
      <w:marLeft w:val="0"/>
      <w:marRight w:val="0"/>
      <w:marTop w:val="0"/>
      <w:marBottom w:val="0"/>
      <w:divBdr>
        <w:top w:val="none" w:sz="0" w:space="0" w:color="auto"/>
        <w:left w:val="none" w:sz="0" w:space="0" w:color="auto"/>
        <w:bottom w:val="none" w:sz="0" w:space="0" w:color="auto"/>
        <w:right w:val="none" w:sz="0" w:space="0" w:color="auto"/>
      </w:divBdr>
      <w:divsChild>
        <w:div w:id="508957249">
          <w:marLeft w:val="547"/>
          <w:marRight w:val="0"/>
          <w:marTop w:val="134"/>
          <w:marBottom w:val="0"/>
          <w:divBdr>
            <w:top w:val="none" w:sz="0" w:space="0" w:color="auto"/>
            <w:left w:val="none" w:sz="0" w:space="0" w:color="auto"/>
            <w:bottom w:val="none" w:sz="0" w:space="0" w:color="auto"/>
            <w:right w:val="none" w:sz="0" w:space="0" w:color="auto"/>
          </w:divBdr>
        </w:div>
      </w:divsChild>
    </w:div>
    <w:div w:id="1706252111">
      <w:bodyDiv w:val="1"/>
      <w:marLeft w:val="0"/>
      <w:marRight w:val="0"/>
      <w:marTop w:val="0"/>
      <w:marBottom w:val="0"/>
      <w:divBdr>
        <w:top w:val="none" w:sz="0" w:space="0" w:color="auto"/>
        <w:left w:val="none" w:sz="0" w:space="0" w:color="auto"/>
        <w:bottom w:val="none" w:sz="0" w:space="0" w:color="auto"/>
        <w:right w:val="none" w:sz="0" w:space="0" w:color="auto"/>
      </w:divBdr>
    </w:div>
    <w:div w:id="1717243662">
      <w:bodyDiv w:val="1"/>
      <w:marLeft w:val="0"/>
      <w:marRight w:val="0"/>
      <w:marTop w:val="0"/>
      <w:marBottom w:val="0"/>
      <w:divBdr>
        <w:top w:val="none" w:sz="0" w:space="0" w:color="auto"/>
        <w:left w:val="none" w:sz="0" w:space="0" w:color="auto"/>
        <w:bottom w:val="none" w:sz="0" w:space="0" w:color="auto"/>
        <w:right w:val="none" w:sz="0" w:space="0" w:color="auto"/>
      </w:divBdr>
    </w:div>
    <w:div w:id="1732926573">
      <w:bodyDiv w:val="1"/>
      <w:marLeft w:val="0"/>
      <w:marRight w:val="0"/>
      <w:marTop w:val="0"/>
      <w:marBottom w:val="0"/>
      <w:divBdr>
        <w:top w:val="none" w:sz="0" w:space="0" w:color="auto"/>
        <w:left w:val="none" w:sz="0" w:space="0" w:color="auto"/>
        <w:bottom w:val="none" w:sz="0" w:space="0" w:color="auto"/>
        <w:right w:val="none" w:sz="0" w:space="0" w:color="auto"/>
      </w:divBdr>
      <w:divsChild>
        <w:div w:id="1208222793">
          <w:marLeft w:val="547"/>
          <w:marRight w:val="0"/>
          <w:marTop w:val="154"/>
          <w:marBottom w:val="0"/>
          <w:divBdr>
            <w:top w:val="none" w:sz="0" w:space="0" w:color="auto"/>
            <w:left w:val="none" w:sz="0" w:space="0" w:color="auto"/>
            <w:bottom w:val="none" w:sz="0" w:space="0" w:color="auto"/>
            <w:right w:val="none" w:sz="0" w:space="0" w:color="auto"/>
          </w:divBdr>
        </w:div>
        <w:div w:id="1656568935">
          <w:marLeft w:val="547"/>
          <w:marRight w:val="0"/>
          <w:marTop w:val="154"/>
          <w:marBottom w:val="0"/>
          <w:divBdr>
            <w:top w:val="none" w:sz="0" w:space="0" w:color="auto"/>
            <w:left w:val="none" w:sz="0" w:space="0" w:color="auto"/>
            <w:bottom w:val="none" w:sz="0" w:space="0" w:color="auto"/>
            <w:right w:val="none" w:sz="0" w:space="0" w:color="auto"/>
          </w:divBdr>
        </w:div>
      </w:divsChild>
    </w:div>
    <w:div w:id="1748452510">
      <w:bodyDiv w:val="1"/>
      <w:marLeft w:val="0"/>
      <w:marRight w:val="0"/>
      <w:marTop w:val="0"/>
      <w:marBottom w:val="0"/>
      <w:divBdr>
        <w:top w:val="none" w:sz="0" w:space="0" w:color="auto"/>
        <w:left w:val="none" w:sz="0" w:space="0" w:color="auto"/>
        <w:bottom w:val="none" w:sz="0" w:space="0" w:color="auto"/>
        <w:right w:val="none" w:sz="0" w:space="0" w:color="auto"/>
      </w:divBdr>
    </w:div>
    <w:div w:id="1752005599">
      <w:bodyDiv w:val="1"/>
      <w:marLeft w:val="0"/>
      <w:marRight w:val="0"/>
      <w:marTop w:val="0"/>
      <w:marBottom w:val="0"/>
      <w:divBdr>
        <w:top w:val="none" w:sz="0" w:space="0" w:color="auto"/>
        <w:left w:val="none" w:sz="0" w:space="0" w:color="auto"/>
        <w:bottom w:val="none" w:sz="0" w:space="0" w:color="auto"/>
        <w:right w:val="none" w:sz="0" w:space="0" w:color="auto"/>
      </w:divBdr>
    </w:div>
    <w:div w:id="1756972642">
      <w:bodyDiv w:val="1"/>
      <w:marLeft w:val="0"/>
      <w:marRight w:val="0"/>
      <w:marTop w:val="0"/>
      <w:marBottom w:val="0"/>
      <w:divBdr>
        <w:top w:val="none" w:sz="0" w:space="0" w:color="auto"/>
        <w:left w:val="none" w:sz="0" w:space="0" w:color="auto"/>
        <w:bottom w:val="none" w:sz="0" w:space="0" w:color="auto"/>
        <w:right w:val="none" w:sz="0" w:space="0" w:color="auto"/>
      </w:divBdr>
    </w:div>
    <w:div w:id="1818644025">
      <w:bodyDiv w:val="1"/>
      <w:marLeft w:val="0"/>
      <w:marRight w:val="0"/>
      <w:marTop w:val="0"/>
      <w:marBottom w:val="0"/>
      <w:divBdr>
        <w:top w:val="none" w:sz="0" w:space="0" w:color="auto"/>
        <w:left w:val="none" w:sz="0" w:space="0" w:color="auto"/>
        <w:bottom w:val="none" w:sz="0" w:space="0" w:color="auto"/>
        <w:right w:val="none" w:sz="0" w:space="0" w:color="auto"/>
      </w:divBdr>
      <w:divsChild>
        <w:div w:id="1478692644">
          <w:marLeft w:val="965"/>
          <w:marRight w:val="0"/>
          <w:marTop w:val="115"/>
          <w:marBottom w:val="0"/>
          <w:divBdr>
            <w:top w:val="none" w:sz="0" w:space="0" w:color="auto"/>
            <w:left w:val="none" w:sz="0" w:space="0" w:color="auto"/>
            <w:bottom w:val="none" w:sz="0" w:space="0" w:color="auto"/>
            <w:right w:val="none" w:sz="0" w:space="0" w:color="auto"/>
          </w:divBdr>
        </w:div>
      </w:divsChild>
    </w:div>
    <w:div w:id="1833135046">
      <w:bodyDiv w:val="1"/>
      <w:marLeft w:val="0"/>
      <w:marRight w:val="0"/>
      <w:marTop w:val="0"/>
      <w:marBottom w:val="0"/>
      <w:divBdr>
        <w:top w:val="none" w:sz="0" w:space="0" w:color="auto"/>
        <w:left w:val="none" w:sz="0" w:space="0" w:color="auto"/>
        <w:bottom w:val="none" w:sz="0" w:space="0" w:color="auto"/>
        <w:right w:val="none" w:sz="0" w:space="0" w:color="auto"/>
      </w:divBdr>
      <w:divsChild>
        <w:div w:id="854927459">
          <w:marLeft w:val="1800"/>
          <w:marRight w:val="0"/>
          <w:marTop w:val="134"/>
          <w:marBottom w:val="0"/>
          <w:divBdr>
            <w:top w:val="none" w:sz="0" w:space="0" w:color="auto"/>
            <w:left w:val="none" w:sz="0" w:space="0" w:color="auto"/>
            <w:bottom w:val="none" w:sz="0" w:space="0" w:color="auto"/>
            <w:right w:val="none" w:sz="0" w:space="0" w:color="auto"/>
          </w:divBdr>
        </w:div>
        <w:div w:id="956642951">
          <w:marLeft w:val="1800"/>
          <w:marRight w:val="0"/>
          <w:marTop w:val="134"/>
          <w:marBottom w:val="0"/>
          <w:divBdr>
            <w:top w:val="none" w:sz="0" w:space="0" w:color="auto"/>
            <w:left w:val="none" w:sz="0" w:space="0" w:color="auto"/>
            <w:bottom w:val="none" w:sz="0" w:space="0" w:color="auto"/>
            <w:right w:val="none" w:sz="0" w:space="0" w:color="auto"/>
          </w:divBdr>
        </w:div>
        <w:div w:id="1769545730">
          <w:marLeft w:val="1800"/>
          <w:marRight w:val="0"/>
          <w:marTop w:val="134"/>
          <w:marBottom w:val="0"/>
          <w:divBdr>
            <w:top w:val="none" w:sz="0" w:space="0" w:color="auto"/>
            <w:left w:val="none" w:sz="0" w:space="0" w:color="auto"/>
            <w:bottom w:val="none" w:sz="0" w:space="0" w:color="auto"/>
            <w:right w:val="none" w:sz="0" w:space="0" w:color="auto"/>
          </w:divBdr>
        </w:div>
        <w:div w:id="1835534985">
          <w:marLeft w:val="1800"/>
          <w:marRight w:val="0"/>
          <w:marTop w:val="134"/>
          <w:marBottom w:val="0"/>
          <w:divBdr>
            <w:top w:val="none" w:sz="0" w:space="0" w:color="auto"/>
            <w:left w:val="none" w:sz="0" w:space="0" w:color="auto"/>
            <w:bottom w:val="none" w:sz="0" w:space="0" w:color="auto"/>
            <w:right w:val="none" w:sz="0" w:space="0" w:color="auto"/>
          </w:divBdr>
        </w:div>
        <w:div w:id="1911428794">
          <w:marLeft w:val="1800"/>
          <w:marRight w:val="0"/>
          <w:marTop w:val="134"/>
          <w:marBottom w:val="0"/>
          <w:divBdr>
            <w:top w:val="none" w:sz="0" w:space="0" w:color="auto"/>
            <w:left w:val="none" w:sz="0" w:space="0" w:color="auto"/>
            <w:bottom w:val="none" w:sz="0" w:space="0" w:color="auto"/>
            <w:right w:val="none" w:sz="0" w:space="0" w:color="auto"/>
          </w:divBdr>
        </w:div>
        <w:div w:id="2008745403">
          <w:marLeft w:val="1800"/>
          <w:marRight w:val="0"/>
          <w:marTop w:val="134"/>
          <w:marBottom w:val="0"/>
          <w:divBdr>
            <w:top w:val="none" w:sz="0" w:space="0" w:color="auto"/>
            <w:left w:val="none" w:sz="0" w:space="0" w:color="auto"/>
            <w:bottom w:val="none" w:sz="0" w:space="0" w:color="auto"/>
            <w:right w:val="none" w:sz="0" w:space="0" w:color="auto"/>
          </w:divBdr>
        </w:div>
        <w:div w:id="2081243947">
          <w:marLeft w:val="1800"/>
          <w:marRight w:val="0"/>
          <w:marTop w:val="134"/>
          <w:marBottom w:val="0"/>
          <w:divBdr>
            <w:top w:val="none" w:sz="0" w:space="0" w:color="auto"/>
            <w:left w:val="none" w:sz="0" w:space="0" w:color="auto"/>
            <w:bottom w:val="none" w:sz="0" w:space="0" w:color="auto"/>
            <w:right w:val="none" w:sz="0" w:space="0" w:color="auto"/>
          </w:divBdr>
        </w:div>
      </w:divsChild>
    </w:div>
    <w:div w:id="1841851076">
      <w:bodyDiv w:val="1"/>
      <w:marLeft w:val="0"/>
      <w:marRight w:val="0"/>
      <w:marTop w:val="0"/>
      <w:marBottom w:val="0"/>
      <w:divBdr>
        <w:top w:val="none" w:sz="0" w:space="0" w:color="auto"/>
        <w:left w:val="none" w:sz="0" w:space="0" w:color="auto"/>
        <w:bottom w:val="none" w:sz="0" w:space="0" w:color="auto"/>
        <w:right w:val="none" w:sz="0" w:space="0" w:color="auto"/>
      </w:divBdr>
    </w:div>
    <w:div w:id="1857377408">
      <w:bodyDiv w:val="1"/>
      <w:marLeft w:val="0"/>
      <w:marRight w:val="0"/>
      <w:marTop w:val="0"/>
      <w:marBottom w:val="0"/>
      <w:divBdr>
        <w:top w:val="none" w:sz="0" w:space="0" w:color="auto"/>
        <w:left w:val="none" w:sz="0" w:space="0" w:color="auto"/>
        <w:bottom w:val="none" w:sz="0" w:space="0" w:color="auto"/>
        <w:right w:val="none" w:sz="0" w:space="0" w:color="auto"/>
      </w:divBdr>
    </w:div>
    <w:div w:id="1868449850">
      <w:bodyDiv w:val="1"/>
      <w:marLeft w:val="0"/>
      <w:marRight w:val="0"/>
      <w:marTop w:val="0"/>
      <w:marBottom w:val="0"/>
      <w:divBdr>
        <w:top w:val="none" w:sz="0" w:space="0" w:color="auto"/>
        <w:left w:val="none" w:sz="0" w:space="0" w:color="auto"/>
        <w:bottom w:val="none" w:sz="0" w:space="0" w:color="auto"/>
        <w:right w:val="none" w:sz="0" w:space="0" w:color="auto"/>
      </w:divBdr>
      <w:divsChild>
        <w:div w:id="1034576005">
          <w:marLeft w:val="547"/>
          <w:marRight w:val="0"/>
          <w:marTop w:val="134"/>
          <w:marBottom w:val="0"/>
          <w:divBdr>
            <w:top w:val="none" w:sz="0" w:space="0" w:color="auto"/>
            <w:left w:val="none" w:sz="0" w:space="0" w:color="auto"/>
            <w:bottom w:val="none" w:sz="0" w:space="0" w:color="auto"/>
            <w:right w:val="none" w:sz="0" w:space="0" w:color="auto"/>
          </w:divBdr>
        </w:div>
      </w:divsChild>
    </w:div>
    <w:div w:id="1873301012">
      <w:bodyDiv w:val="1"/>
      <w:marLeft w:val="0"/>
      <w:marRight w:val="0"/>
      <w:marTop w:val="0"/>
      <w:marBottom w:val="0"/>
      <w:divBdr>
        <w:top w:val="none" w:sz="0" w:space="0" w:color="auto"/>
        <w:left w:val="none" w:sz="0" w:space="0" w:color="auto"/>
        <w:bottom w:val="none" w:sz="0" w:space="0" w:color="auto"/>
        <w:right w:val="none" w:sz="0" w:space="0" w:color="auto"/>
      </w:divBdr>
    </w:div>
    <w:div w:id="1879006755">
      <w:bodyDiv w:val="1"/>
      <w:marLeft w:val="0"/>
      <w:marRight w:val="0"/>
      <w:marTop w:val="0"/>
      <w:marBottom w:val="0"/>
      <w:divBdr>
        <w:top w:val="none" w:sz="0" w:space="0" w:color="auto"/>
        <w:left w:val="none" w:sz="0" w:space="0" w:color="auto"/>
        <w:bottom w:val="none" w:sz="0" w:space="0" w:color="auto"/>
        <w:right w:val="none" w:sz="0" w:space="0" w:color="auto"/>
      </w:divBdr>
    </w:div>
    <w:div w:id="1893731297">
      <w:bodyDiv w:val="1"/>
      <w:marLeft w:val="0"/>
      <w:marRight w:val="0"/>
      <w:marTop w:val="0"/>
      <w:marBottom w:val="0"/>
      <w:divBdr>
        <w:top w:val="none" w:sz="0" w:space="0" w:color="auto"/>
        <w:left w:val="none" w:sz="0" w:space="0" w:color="auto"/>
        <w:bottom w:val="none" w:sz="0" w:space="0" w:color="auto"/>
        <w:right w:val="none" w:sz="0" w:space="0" w:color="auto"/>
      </w:divBdr>
    </w:div>
    <w:div w:id="1904214114">
      <w:bodyDiv w:val="1"/>
      <w:marLeft w:val="0"/>
      <w:marRight w:val="0"/>
      <w:marTop w:val="0"/>
      <w:marBottom w:val="0"/>
      <w:divBdr>
        <w:top w:val="none" w:sz="0" w:space="0" w:color="auto"/>
        <w:left w:val="none" w:sz="0" w:space="0" w:color="auto"/>
        <w:bottom w:val="none" w:sz="0" w:space="0" w:color="auto"/>
        <w:right w:val="none" w:sz="0" w:space="0" w:color="auto"/>
      </w:divBdr>
    </w:div>
    <w:div w:id="1914391724">
      <w:bodyDiv w:val="1"/>
      <w:marLeft w:val="0"/>
      <w:marRight w:val="0"/>
      <w:marTop w:val="0"/>
      <w:marBottom w:val="0"/>
      <w:divBdr>
        <w:top w:val="none" w:sz="0" w:space="0" w:color="auto"/>
        <w:left w:val="none" w:sz="0" w:space="0" w:color="auto"/>
        <w:bottom w:val="none" w:sz="0" w:space="0" w:color="auto"/>
        <w:right w:val="none" w:sz="0" w:space="0" w:color="auto"/>
      </w:divBdr>
    </w:div>
    <w:div w:id="1927302173">
      <w:bodyDiv w:val="1"/>
      <w:marLeft w:val="0"/>
      <w:marRight w:val="0"/>
      <w:marTop w:val="0"/>
      <w:marBottom w:val="0"/>
      <w:divBdr>
        <w:top w:val="none" w:sz="0" w:space="0" w:color="auto"/>
        <w:left w:val="none" w:sz="0" w:space="0" w:color="auto"/>
        <w:bottom w:val="none" w:sz="0" w:space="0" w:color="auto"/>
        <w:right w:val="none" w:sz="0" w:space="0" w:color="auto"/>
      </w:divBdr>
    </w:div>
    <w:div w:id="1948543062">
      <w:bodyDiv w:val="1"/>
      <w:marLeft w:val="0"/>
      <w:marRight w:val="0"/>
      <w:marTop w:val="0"/>
      <w:marBottom w:val="0"/>
      <w:divBdr>
        <w:top w:val="none" w:sz="0" w:space="0" w:color="auto"/>
        <w:left w:val="none" w:sz="0" w:space="0" w:color="auto"/>
        <w:bottom w:val="none" w:sz="0" w:space="0" w:color="auto"/>
        <w:right w:val="none" w:sz="0" w:space="0" w:color="auto"/>
      </w:divBdr>
    </w:div>
    <w:div w:id="1973636366">
      <w:bodyDiv w:val="1"/>
      <w:marLeft w:val="0"/>
      <w:marRight w:val="0"/>
      <w:marTop w:val="0"/>
      <w:marBottom w:val="0"/>
      <w:divBdr>
        <w:top w:val="none" w:sz="0" w:space="0" w:color="auto"/>
        <w:left w:val="none" w:sz="0" w:space="0" w:color="auto"/>
        <w:bottom w:val="none" w:sz="0" w:space="0" w:color="auto"/>
        <w:right w:val="none" w:sz="0" w:space="0" w:color="auto"/>
      </w:divBdr>
    </w:div>
    <w:div w:id="1989822814">
      <w:bodyDiv w:val="1"/>
      <w:marLeft w:val="0"/>
      <w:marRight w:val="0"/>
      <w:marTop w:val="0"/>
      <w:marBottom w:val="0"/>
      <w:divBdr>
        <w:top w:val="none" w:sz="0" w:space="0" w:color="auto"/>
        <w:left w:val="none" w:sz="0" w:space="0" w:color="auto"/>
        <w:bottom w:val="none" w:sz="0" w:space="0" w:color="auto"/>
        <w:right w:val="none" w:sz="0" w:space="0" w:color="auto"/>
      </w:divBdr>
    </w:div>
    <w:div w:id="1994019020">
      <w:bodyDiv w:val="1"/>
      <w:marLeft w:val="0"/>
      <w:marRight w:val="0"/>
      <w:marTop w:val="0"/>
      <w:marBottom w:val="0"/>
      <w:divBdr>
        <w:top w:val="none" w:sz="0" w:space="0" w:color="auto"/>
        <w:left w:val="none" w:sz="0" w:space="0" w:color="auto"/>
        <w:bottom w:val="none" w:sz="0" w:space="0" w:color="auto"/>
        <w:right w:val="none" w:sz="0" w:space="0" w:color="auto"/>
      </w:divBdr>
    </w:div>
    <w:div w:id="2055765120">
      <w:bodyDiv w:val="1"/>
      <w:marLeft w:val="0"/>
      <w:marRight w:val="0"/>
      <w:marTop w:val="0"/>
      <w:marBottom w:val="0"/>
      <w:divBdr>
        <w:top w:val="none" w:sz="0" w:space="0" w:color="auto"/>
        <w:left w:val="none" w:sz="0" w:space="0" w:color="auto"/>
        <w:bottom w:val="none" w:sz="0" w:space="0" w:color="auto"/>
        <w:right w:val="none" w:sz="0" w:space="0" w:color="auto"/>
      </w:divBdr>
    </w:div>
    <w:div w:id="2060781296">
      <w:bodyDiv w:val="1"/>
      <w:marLeft w:val="0"/>
      <w:marRight w:val="0"/>
      <w:marTop w:val="0"/>
      <w:marBottom w:val="0"/>
      <w:divBdr>
        <w:top w:val="none" w:sz="0" w:space="0" w:color="auto"/>
        <w:left w:val="none" w:sz="0" w:space="0" w:color="auto"/>
        <w:bottom w:val="none" w:sz="0" w:space="0" w:color="auto"/>
        <w:right w:val="none" w:sz="0" w:space="0" w:color="auto"/>
      </w:divBdr>
    </w:div>
    <w:div w:id="2069575761">
      <w:bodyDiv w:val="1"/>
      <w:marLeft w:val="0"/>
      <w:marRight w:val="0"/>
      <w:marTop w:val="0"/>
      <w:marBottom w:val="0"/>
      <w:divBdr>
        <w:top w:val="none" w:sz="0" w:space="0" w:color="auto"/>
        <w:left w:val="none" w:sz="0" w:space="0" w:color="auto"/>
        <w:bottom w:val="none" w:sz="0" w:space="0" w:color="auto"/>
        <w:right w:val="none" w:sz="0" w:space="0" w:color="auto"/>
      </w:divBdr>
    </w:div>
    <w:div w:id="2087217088">
      <w:bodyDiv w:val="1"/>
      <w:marLeft w:val="0"/>
      <w:marRight w:val="0"/>
      <w:marTop w:val="0"/>
      <w:marBottom w:val="0"/>
      <w:divBdr>
        <w:top w:val="none" w:sz="0" w:space="0" w:color="auto"/>
        <w:left w:val="none" w:sz="0" w:space="0" w:color="auto"/>
        <w:bottom w:val="none" w:sz="0" w:space="0" w:color="auto"/>
        <w:right w:val="none" w:sz="0" w:space="0" w:color="auto"/>
      </w:divBdr>
    </w:div>
    <w:div w:id="2089305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02">
          <w:marLeft w:val="547"/>
          <w:marRight w:val="0"/>
          <w:marTop w:val="154"/>
          <w:marBottom w:val="0"/>
          <w:divBdr>
            <w:top w:val="none" w:sz="0" w:space="0" w:color="auto"/>
            <w:left w:val="none" w:sz="0" w:space="0" w:color="auto"/>
            <w:bottom w:val="none" w:sz="0" w:space="0" w:color="auto"/>
            <w:right w:val="none" w:sz="0" w:space="0" w:color="auto"/>
          </w:divBdr>
        </w:div>
      </w:divsChild>
    </w:div>
    <w:div w:id="2118131424">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0">
          <w:marLeft w:val="547"/>
          <w:marRight w:val="0"/>
          <w:marTop w:val="115"/>
          <w:marBottom w:val="0"/>
          <w:divBdr>
            <w:top w:val="none" w:sz="0" w:space="0" w:color="auto"/>
            <w:left w:val="none" w:sz="0" w:space="0" w:color="auto"/>
            <w:bottom w:val="none" w:sz="0" w:space="0" w:color="auto"/>
            <w:right w:val="none" w:sz="0" w:space="0" w:color="auto"/>
          </w:divBdr>
        </w:div>
        <w:div w:id="1855993169">
          <w:marLeft w:val="547"/>
          <w:marRight w:val="0"/>
          <w:marTop w:val="115"/>
          <w:marBottom w:val="0"/>
          <w:divBdr>
            <w:top w:val="none" w:sz="0" w:space="0" w:color="auto"/>
            <w:left w:val="none" w:sz="0" w:space="0" w:color="auto"/>
            <w:bottom w:val="none" w:sz="0" w:space="0" w:color="auto"/>
            <w:right w:val="none" w:sz="0" w:space="0" w:color="auto"/>
          </w:divBdr>
        </w:div>
      </w:divsChild>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sChild>
        <w:div w:id="526720218">
          <w:marLeft w:val="547"/>
          <w:marRight w:val="0"/>
          <w:marTop w:val="154"/>
          <w:marBottom w:val="0"/>
          <w:divBdr>
            <w:top w:val="none" w:sz="0" w:space="0" w:color="auto"/>
            <w:left w:val="none" w:sz="0" w:space="0" w:color="auto"/>
            <w:bottom w:val="none" w:sz="0" w:space="0" w:color="auto"/>
            <w:right w:val="none" w:sz="0" w:space="0" w:color="auto"/>
          </w:divBdr>
        </w:div>
        <w:div w:id="1199271517">
          <w:marLeft w:val="547"/>
          <w:marRight w:val="0"/>
          <w:marTop w:val="154"/>
          <w:marBottom w:val="0"/>
          <w:divBdr>
            <w:top w:val="none" w:sz="0" w:space="0" w:color="auto"/>
            <w:left w:val="none" w:sz="0" w:space="0" w:color="auto"/>
            <w:bottom w:val="none" w:sz="0" w:space="0" w:color="auto"/>
            <w:right w:val="none" w:sz="0" w:space="0" w:color="auto"/>
          </w:divBdr>
        </w:div>
        <w:div w:id="1441681829">
          <w:marLeft w:val="547"/>
          <w:marRight w:val="0"/>
          <w:marTop w:val="154"/>
          <w:marBottom w:val="0"/>
          <w:divBdr>
            <w:top w:val="none" w:sz="0" w:space="0" w:color="auto"/>
            <w:left w:val="none" w:sz="0" w:space="0" w:color="auto"/>
            <w:bottom w:val="none" w:sz="0" w:space="0" w:color="auto"/>
            <w:right w:val="none" w:sz="0" w:space="0" w:color="auto"/>
          </w:divBdr>
        </w:div>
        <w:div w:id="14529003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microsoft.com/office/2007/relationships/hdphoto" Target="NUL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050">
                <a:solidFill>
                  <a:schemeClr val="accent6">
                    <a:lumMod val="75000"/>
                  </a:schemeClr>
                </a:solidFill>
              </a:defRPr>
            </a:pPr>
            <a:r>
              <a:rPr lang="fr-FR" sz="1050">
                <a:solidFill>
                  <a:schemeClr val="accent6">
                    <a:lumMod val="75000"/>
                  </a:schemeClr>
                </a:solidFill>
              </a:rPr>
              <a:t> Figure 1:  Evolution mensuelle de l'IPC en 2022</a:t>
            </a:r>
          </a:p>
        </c:rich>
      </c:tx>
      <c:layout>
        <c:manualLayout>
          <c:xMode val="edge"/>
          <c:yMode val="edge"/>
          <c:x val="0.23385969281277294"/>
          <c:y val="3.1501516855847581E-2"/>
        </c:manualLayout>
      </c:layout>
    </c:title>
    <c:plotArea>
      <c:layout>
        <c:manualLayout>
          <c:layoutTarget val="inner"/>
          <c:xMode val="edge"/>
          <c:yMode val="edge"/>
          <c:x val="0.14842510453676352"/>
          <c:y val="0.12315166136064892"/>
          <c:w val="0.81195333994778807"/>
          <c:h val="0.65189233838958194"/>
        </c:manualLayout>
      </c:layout>
      <c:lineChart>
        <c:grouping val="standard"/>
        <c:ser>
          <c:idx val="0"/>
          <c:order val="0"/>
          <c:tx>
            <c:strRef>
              <c:f>Feuil1!$B$1</c:f>
              <c:strCache>
                <c:ptCount val="1"/>
                <c:pt idx="0">
                  <c:v>Maroc</c:v>
                </c:pt>
              </c:strCache>
            </c:strRef>
          </c:tx>
          <c:spPr>
            <a:ln>
              <a:solidFill>
                <a:srgbClr val="C00000"/>
              </a:solidFill>
            </a:ln>
          </c:spPr>
          <c:marker>
            <c:spPr>
              <a:solidFill>
                <a:srgbClr val="C00000"/>
              </a:solidFill>
              <a:ln>
                <a:solidFill>
                  <a:srgbClr val="C00000"/>
                </a:solidFill>
              </a:ln>
            </c:spPr>
          </c:marker>
          <c:dLbls>
            <c:delete val="1"/>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Feuil1!$B$2:$B$13</c:f>
              <c:numCache>
                <c:formatCode>General</c:formatCode>
                <c:ptCount val="12"/>
                <c:pt idx="0">
                  <c:v>105.5</c:v>
                </c:pt>
                <c:pt idx="1">
                  <c:v>106.1</c:v>
                </c:pt>
                <c:pt idx="2" formatCode="0.0">
                  <c:v>108</c:v>
                </c:pt>
                <c:pt idx="3">
                  <c:v>109.9</c:v>
                </c:pt>
                <c:pt idx="4">
                  <c:v>110.2</c:v>
                </c:pt>
                <c:pt idx="5">
                  <c:v>110.8</c:v>
                </c:pt>
                <c:pt idx="6">
                  <c:v>111.8</c:v>
                </c:pt>
                <c:pt idx="7">
                  <c:v>112.1</c:v>
                </c:pt>
                <c:pt idx="8">
                  <c:v>113.2</c:v>
                </c:pt>
                <c:pt idx="9">
                  <c:v>113.7</c:v>
                </c:pt>
                <c:pt idx="10">
                  <c:v>114.2</c:v>
                </c:pt>
                <c:pt idx="11">
                  <c:v>114.3</c:v>
                </c:pt>
              </c:numCache>
            </c:numRef>
          </c:val>
          <c:extLst xmlns:c16r2="http://schemas.microsoft.com/office/drawing/2015/06/chart">
            <c:ext xmlns:c16="http://schemas.microsoft.com/office/drawing/2014/chart" uri="{C3380CC4-5D6E-409C-BE32-E72D297353CC}">
              <c16:uniqueId val="{00000000-1D54-4806-8D44-DA7E9B1022F2}"/>
            </c:ext>
          </c:extLst>
        </c:ser>
        <c:ser>
          <c:idx val="1"/>
          <c:order val="1"/>
          <c:tx>
            <c:strRef>
              <c:f>Feuil1!$C$1</c:f>
              <c:strCache>
                <c:ptCount val="1"/>
                <c:pt idx="0">
                  <c:v>Rabat</c:v>
                </c:pt>
              </c:strCache>
            </c:strRef>
          </c:tx>
          <c:spPr>
            <a:ln>
              <a:solidFill>
                <a:srgbClr val="0070C0"/>
              </a:solidFill>
            </a:ln>
          </c:spPr>
          <c:marker>
            <c:spPr>
              <a:solidFill>
                <a:srgbClr val="0070C0"/>
              </a:solidFill>
              <a:ln>
                <a:solidFill>
                  <a:srgbClr val="0070C0"/>
                </a:solidFill>
              </a:ln>
            </c:spPr>
          </c:marker>
          <c:dLbls>
            <c:dLbl>
              <c:idx val="0"/>
              <c:layout>
                <c:manualLayout>
                  <c:x val="-3.5035070694166365E-2"/>
                  <c:y val="-5.5336405529953933E-2"/>
                </c:manualLayout>
              </c:layout>
              <c:tx>
                <c:rich>
                  <a:bodyPr/>
                  <a:lstStyle/>
                  <a:p>
                    <a:pPr>
                      <a:defRPr sz="800" b="1">
                        <a:solidFill>
                          <a:schemeClr val="tx1"/>
                        </a:solidFill>
                      </a:defRPr>
                    </a:pPr>
                    <a:r>
                      <a:rPr lang="en-US" sz="800" b="1">
                        <a:solidFill>
                          <a:schemeClr val="tx1"/>
                        </a:solidFill>
                      </a:rPr>
                      <a:t>0,4</a:t>
                    </a:r>
                    <a:endParaRPr lang="en-US" sz="800">
                      <a:solidFill>
                        <a:schemeClr val="tx1"/>
                      </a:solidFill>
                    </a:endParaRP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54-4806-8D44-DA7E9B1022F2}"/>
                </c:ext>
              </c:extLst>
            </c:dLbl>
            <c:dLbl>
              <c:idx val="1"/>
              <c:layout>
                <c:manualLayout>
                  <c:x val="-3.9329015230350498E-2"/>
                  <c:y val="-5.4757864944301418E-2"/>
                </c:manualLayout>
              </c:layout>
              <c:tx>
                <c:rich>
                  <a:bodyPr/>
                  <a:lstStyle/>
                  <a:p>
                    <a:pPr>
                      <a:defRPr sz="800" b="1">
                        <a:solidFill>
                          <a:srgbClr val="FF0000"/>
                        </a:solidFill>
                      </a:defRPr>
                    </a:pPr>
                    <a:r>
                      <a:rPr lang="en-US" sz="800" b="1">
                        <a:solidFill>
                          <a:srgbClr val="FF0000"/>
                        </a:solidFill>
                      </a:rPr>
                      <a:t>0,3</a:t>
                    </a:r>
                    <a:endParaRPr lang="en-US" sz="800">
                      <a:solidFill>
                        <a:srgbClr val="FF0000"/>
                      </a:solidFill>
                    </a:endParaRP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54-4806-8D44-DA7E9B1022F2}"/>
                </c:ext>
              </c:extLst>
            </c:dLbl>
            <c:dLbl>
              <c:idx val="2"/>
              <c:layout>
                <c:manualLayout>
                  <c:x val="-4.1417287737628782E-2"/>
                  <c:y val="-7.6707282557422291E-2"/>
                </c:manualLayout>
              </c:layout>
              <c:tx>
                <c:rich>
                  <a:bodyPr/>
                  <a:lstStyle/>
                  <a:p>
                    <a:r>
                      <a:rPr lang="en-US" sz="800" b="1"/>
                      <a:t>0,9</a:t>
                    </a:r>
                    <a:endParaRPr lang="en-US" sz="800"/>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54-4806-8D44-DA7E9B1022F2}"/>
                </c:ext>
              </c:extLst>
            </c:dLbl>
            <c:dLbl>
              <c:idx val="3"/>
              <c:layout>
                <c:manualLayout>
                  <c:x val="-4.3721933354274586E-2"/>
                  <c:y val="-6.2035052070104117E-2"/>
                </c:manualLayout>
              </c:layout>
              <c:tx>
                <c:rich>
                  <a:bodyPr/>
                  <a:lstStyle/>
                  <a:p>
                    <a:r>
                      <a:rPr lang="en-US" sz="800" b="1">
                        <a:solidFill>
                          <a:schemeClr val="tx1"/>
                        </a:solidFill>
                      </a:rPr>
                      <a:t>0,7</a:t>
                    </a:r>
                    <a:endParaRPr lang="en-US" sz="800" b="0">
                      <a:solidFill>
                        <a:schemeClr val="tx1"/>
                      </a:solidFill>
                    </a:endParaRP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54-4806-8D44-DA7E9B1022F2}"/>
                </c:ext>
              </c:extLst>
            </c:dLbl>
            <c:dLbl>
              <c:idx val="4"/>
              <c:layout>
                <c:manualLayout>
                  <c:x val="-3.7540822217815607E-2"/>
                  <c:y val="-4.9910374106462513E-2"/>
                </c:manualLayout>
              </c:layout>
              <c:tx>
                <c:rich>
                  <a:bodyPr/>
                  <a:lstStyle/>
                  <a:p>
                    <a:pPr>
                      <a:defRPr sz="800" b="1">
                        <a:solidFill>
                          <a:srgbClr val="FF0000"/>
                        </a:solidFill>
                      </a:defRPr>
                    </a:pPr>
                    <a:r>
                      <a:rPr lang="en-US" sz="800" b="1">
                        <a:solidFill>
                          <a:sysClr val="windowText" lastClr="000000"/>
                        </a:solidFill>
                      </a:rPr>
                      <a:t>0,4</a:t>
                    </a: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54-4806-8D44-DA7E9B1022F2}"/>
                </c:ext>
              </c:extLst>
            </c:dLbl>
            <c:dLbl>
              <c:idx val="5"/>
              <c:layout>
                <c:manualLayout>
                  <c:x val="-4.9445554875063392E-2"/>
                  <c:y val="-5.6753873507747014E-2"/>
                </c:manualLayout>
              </c:layout>
              <c:tx>
                <c:rich>
                  <a:bodyPr/>
                  <a:lstStyle/>
                  <a:p>
                    <a:r>
                      <a:rPr lang="en-US" sz="800" b="1"/>
                      <a:t>0,4</a:t>
                    </a:r>
                    <a:endParaRPr lang="en-US" sz="800"/>
                  </a:p>
                </c:rich>
              </c:tx>
              <c:dLblPos val="r"/>
              <c:showVal val="1"/>
              <c:extLst xmlns:c16r2="http://schemas.microsoft.com/office/drawing/2015/06/chart">
                <c:ext xmlns:c15="http://schemas.microsoft.com/office/drawing/2012/chart" uri="{CE6537A1-D6FC-4f65-9D91-7224C49458BB}">
                  <c15:layout>
                    <c:manualLayout>
                      <c:w val="5.2863828838867838E-2"/>
                      <c:h val="5.6055444682317934E-2"/>
                    </c:manualLayout>
                  </c15:layout>
                </c:ext>
                <c:ext xmlns:c16="http://schemas.microsoft.com/office/drawing/2014/chart" uri="{C3380CC4-5D6E-409C-BE32-E72D297353CC}">
                  <c16:uniqueId val="{00000006-1D54-4806-8D44-DA7E9B1022F2}"/>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D54-4806-8D44-DA7E9B1022F2}"/>
                </c:ext>
              </c:extLst>
            </c:dLbl>
            <c:dLbl>
              <c:idx val="7"/>
              <c:layout>
                <c:manualLayout>
                  <c:x val="-4.2685167474190606E-2"/>
                  <c:y val="-8.9236619616096399E-2"/>
                </c:manualLayout>
              </c:layout>
              <c:tx>
                <c:rich>
                  <a:bodyPr/>
                  <a:lstStyle/>
                  <a:p>
                    <a:r>
                      <a:rPr lang="en-US" sz="800" b="1">
                        <a:solidFill>
                          <a:schemeClr val="tx1"/>
                        </a:solidFill>
                      </a:rPr>
                      <a:t>1,3</a:t>
                    </a:r>
                    <a:endParaRPr lang="en-US" sz="800" b="0">
                      <a:solidFill>
                        <a:schemeClr val="tx1"/>
                      </a:solidFill>
                    </a:endParaRP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D54-4806-8D44-DA7E9B1022F2}"/>
                </c:ext>
              </c:extLst>
            </c:dLbl>
            <c:dLbl>
              <c:idx val="8"/>
              <c:layout>
                <c:manualLayout>
                  <c:x val="-4.1823365420891087E-2"/>
                  <c:y val="-8.3154869138661019E-2"/>
                </c:manualLayout>
              </c:layout>
              <c:tx>
                <c:rich>
                  <a:bodyPr/>
                  <a:lstStyle/>
                  <a:p>
                    <a:pPr>
                      <a:defRPr sz="800" b="1">
                        <a:solidFill>
                          <a:srgbClr val="FF0000"/>
                        </a:solidFill>
                      </a:defRPr>
                    </a:pPr>
                    <a:r>
                      <a:rPr lang="en-US" sz="800" b="1">
                        <a:solidFill>
                          <a:schemeClr val="tx1"/>
                        </a:solidFill>
                      </a:rPr>
                      <a:t>1,0</a:t>
                    </a: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D54-4806-8D44-DA7E9B1022F2}"/>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D54-4806-8D44-DA7E9B1022F2}"/>
                </c:ext>
              </c:extLst>
            </c:dLbl>
            <c:dLbl>
              <c:idx val="10"/>
              <c:layout>
                <c:manualLayout>
                  <c:x val="-4.0232936857510927E-2"/>
                  <c:y val="-8.3354351336063073E-2"/>
                </c:manualLayout>
              </c:layout>
              <c:tx>
                <c:rich>
                  <a:bodyPr/>
                  <a:lstStyle/>
                  <a:p>
                    <a:r>
                      <a:rPr lang="en-US" sz="800" b="1"/>
                      <a:t>1,3</a:t>
                    </a:r>
                    <a:endParaRPr lang="en-US" sz="800"/>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D54-4806-8D44-DA7E9B1022F2}"/>
                </c:ext>
              </c:extLst>
            </c:dLbl>
            <c:dLbl>
              <c:idx val="11"/>
              <c:layout>
                <c:manualLayout>
                  <c:x val="-3.9865297649026347E-2"/>
                  <c:y val="-9.6581733734896022E-2"/>
                </c:manualLayout>
              </c:layout>
              <c:tx>
                <c:rich>
                  <a:bodyPr/>
                  <a:lstStyle/>
                  <a:p>
                    <a:r>
                      <a:rPr lang="en-US" sz="800" b="1">
                        <a:solidFill>
                          <a:srgbClr val="FF0000"/>
                        </a:solidFill>
                      </a:rPr>
                      <a:t>1,5</a:t>
                    </a:r>
                    <a:endParaRPr lang="en-US" sz="800">
                      <a:solidFill>
                        <a:srgbClr val="FF0000"/>
                      </a:solidFill>
                    </a:endParaRP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D54-4806-8D44-DA7E9B1022F2}"/>
                </c:ext>
              </c:extLst>
            </c:dLbl>
            <c:spPr>
              <a:noFill/>
              <a:ln>
                <a:noFill/>
              </a:ln>
              <a:effectLst/>
            </c:spPr>
            <c:txPr>
              <a:bodyPr/>
              <a:lstStyle/>
              <a:p>
                <a:pPr>
                  <a:defRPr sz="800" b="1"/>
                </a:pPr>
                <a:endParaRPr lang="fr-FR"/>
              </a:p>
            </c:txPr>
            <c:dLblPos val="b"/>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Feuil1!$C$2:$C$13</c:f>
              <c:numCache>
                <c:formatCode>General</c:formatCode>
                <c:ptCount val="12"/>
                <c:pt idx="0">
                  <c:v>105.1</c:v>
                </c:pt>
                <c:pt idx="1">
                  <c:v>105.8</c:v>
                </c:pt>
                <c:pt idx="2">
                  <c:v>107.1</c:v>
                </c:pt>
                <c:pt idx="3">
                  <c:v>109.2</c:v>
                </c:pt>
                <c:pt idx="4">
                  <c:v>109.8</c:v>
                </c:pt>
                <c:pt idx="5">
                  <c:v>110.4</c:v>
                </c:pt>
                <c:pt idx="6">
                  <c:v>111.3</c:v>
                </c:pt>
                <c:pt idx="7">
                  <c:v>110.8</c:v>
                </c:pt>
                <c:pt idx="8">
                  <c:v>112.2</c:v>
                </c:pt>
                <c:pt idx="9">
                  <c:v>112.4</c:v>
                </c:pt>
                <c:pt idx="10">
                  <c:v>112.9</c:v>
                </c:pt>
                <c:pt idx="11">
                  <c:v>112.8</c:v>
                </c:pt>
              </c:numCache>
            </c:numRef>
          </c:val>
          <c:extLst xmlns:c16r2="http://schemas.microsoft.com/office/drawing/2015/06/chart">
            <c:ext xmlns:c16="http://schemas.microsoft.com/office/drawing/2014/chart" uri="{C3380CC4-5D6E-409C-BE32-E72D297353CC}">
              <c16:uniqueId val="{0000000D-1D54-4806-8D44-DA7E9B1022F2}"/>
            </c:ext>
          </c:extLst>
        </c:ser>
        <c:dLbls>
          <c:showVal val="1"/>
        </c:dLbls>
        <c:hiLowLines>
          <c:spPr>
            <a:ln w="25400" cap="flat" cmpd="sng" algn="ctr">
              <a:solidFill>
                <a:schemeClr val="dk1"/>
              </a:solidFill>
              <a:prstDash val="solid"/>
            </a:ln>
            <a:effectLst>
              <a:outerShdw blurRad="40000" dist="20000" dir="5400000" rotWithShape="0">
                <a:srgbClr val="000000">
                  <a:alpha val="38000"/>
                </a:srgbClr>
              </a:outerShdw>
            </a:effectLst>
          </c:spPr>
        </c:hiLowLines>
        <c:marker val="1"/>
        <c:axId val="144115968"/>
        <c:axId val="144134144"/>
      </c:lineChart>
      <c:catAx>
        <c:axId val="144115968"/>
        <c:scaling>
          <c:orientation val="minMax"/>
        </c:scaling>
        <c:axPos val="b"/>
        <c:numFmt formatCode="General" sourceLinked="1"/>
        <c:majorTickMark val="none"/>
        <c:tickLblPos val="nextTo"/>
        <c:crossAx val="144134144"/>
        <c:crosses val="autoZero"/>
        <c:auto val="1"/>
        <c:lblAlgn val="ctr"/>
        <c:lblOffset val="100"/>
      </c:catAx>
      <c:valAx>
        <c:axId val="144134144"/>
        <c:scaling>
          <c:orientation val="minMax"/>
          <c:max val="116"/>
          <c:min val="100"/>
        </c:scaling>
        <c:axPos val="l"/>
        <c:numFmt formatCode="General" sourceLinked="1"/>
        <c:majorTickMark val="none"/>
        <c:tickLblPos val="nextTo"/>
        <c:txPr>
          <a:bodyPr/>
          <a:lstStyle/>
          <a:p>
            <a:pPr>
              <a:defRPr sz="1000"/>
            </a:pPr>
            <a:endParaRPr lang="fr-FR"/>
          </a:p>
        </c:txPr>
        <c:crossAx val="144115968"/>
        <c:crosses val="autoZero"/>
        <c:crossBetween val="between"/>
        <c:majorUnit val="2"/>
      </c:valAx>
      <c:dTable>
        <c:showHorzBorder val="1"/>
        <c:showVertBorder val="1"/>
        <c:showOutline val="1"/>
        <c:showKeys val="1"/>
        <c:txPr>
          <a:bodyPr/>
          <a:lstStyle/>
          <a:p>
            <a:pPr rtl="0">
              <a:defRPr sz="900"/>
            </a:pPr>
            <a:endParaRPr lang="fr-FR"/>
          </a:p>
        </c:txPr>
      </c:dTable>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1905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050">
                <a:solidFill>
                  <a:schemeClr val="accent6">
                    <a:lumMod val="75000"/>
                  </a:schemeClr>
                </a:solidFill>
              </a:defRPr>
            </a:pPr>
            <a:r>
              <a:rPr lang="fr-FR" sz="1050">
                <a:solidFill>
                  <a:schemeClr val="accent6">
                    <a:lumMod val="75000"/>
                  </a:schemeClr>
                </a:solidFill>
              </a:rPr>
              <a:t> Figure 2:  Evolution mensuelle à</a:t>
            </a:r>
            <a:r>
              <a:rPr lang="fr-FR" sz="1050" baseline="0">
                <a:solidFill>
                  <a:schemeClr val="accent6">
                    <a:lumMod val="75000"/>
                  </a:schemeClr>
                </a:solidFill>
              </a:rPr>
              <a:t> Rabat </a:t>
            </a:r>
            <a:r>
              <a:rPr lang="fr-FR" sz="1050">
                <a:solidFill>
                  <a:schemeClr val="accent6">
                    <a:lumMod val="75000"/>
                  </a:schemeClr>
                </a:solidFill>
              </a:rPr>
              <a:t>en 2021-2022</a:t>
            </a:r>
          </a:p>
        </c:rich>
      </c:tx>
      <c:layout>
        <c:manualLayout>
          <c:xMode val="edge"/>
          <c:yMode val="edge"/>
          <c:x val="0.28515712879640043"/>
          <c:y val="2.9663041467075123E-2"/>
        </c:manualLayout>
      </c:layout>
    </c:title>
    <c:plotArea>
      <c:layout>
        <c:manualLayout>
          <c:layoutTarget val="inner"/>
          <c:xMode val="edge"/>
          <c:yMode val="edge"/>
          <c:x val="0.17384524635197807"/>
          <c:y val="0.10404172063348484"/>
          <c:w val="0.77865907143731405"/>
          <c:h val="0.64425210556252266"/>
        </c:manualLayout>
      </c:layout>
      <c:lineChart>
        <c:grouping val="standard"/>
        <c:ser>
          <c:idx val="0"/>
          <c:order val="0"/>
          <c:tx>
            <c:strRef>
              <c:f>Feuil1!$B$1</c:f>
              <c:strCache>
                <c:ptCount val="1"/>
                <c:pt idx="0">
                  <c:v>Rabat 2022</c:v>
                </c:pt>
              </c:strCache>
            </c:strRef>
          </c:tx>
          <c:spPr>
            <a:ln>
              <a:solidFill>
                <a:srgbClr val="C00000"/>
              </a:solidFill>
            </a:ln>
          </c:spPr>
          <c:marker>
            <c:spPr>
              <a:solidFill>
                <a:srgbClr val="C00000"/>
              </a:solidFill>
              <a:ln>
                <a:solidFill>
                  <a:srgbClr val="C00000"/>
                </a:solidFill>
              </a:ln>
            </c:spPr>
          </c:marker>
          <c:dLbls>
            <c:delete val="1"/>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Feuil1!$B$2:$B$13</c:f>
              <c:numCache>
                <c:formatCode>0.0</c:formatCode>
                <c:ptCount val="12"/>
                <c:pt idx="0">
                  <c:v>105.1</c:v>
                </c:pt>
                <c:pt idx="1">
                  <c:v>105.8</c:v>
                </c:pt>
                <c:pt idx="2">
                  <c:v>107.1</c:v>
                </c:pt>
                <c:pt idx="3">
                  <c:v>109.2</c:v>
                </c:pt>
                <c:pt idx="4">
                  <c:v>109.8</c:v>
                </c:pt>
                <c:pt idx="5">
                  <c:v>110.4</c:v>
                </c:pt>
                <c:pt idx="6">
                  <c:v>111.3</c:v>
                </c:pt>
                <c:pt idx="7">
                  <c:v>110.8</c:v>
                </c:pt>
                <c:pt idx="8">
                  <c:v>112.2</c:v>
                </c:pt>
                <c:pt idx="9">
                  <c:v>112.4</c:v>
                </c:pt>
                <c:pt idx="10">
                  <c:v>112.9</c:v>
                </c:pt>
                <c:pt idx="11">
                  <c:v>112.8</c:v>
                </c:pt>
              </c:numCache>
            </c:numRef>
          </c:val>
          <c:extLst xmlns:c16r2="http://schemas.microsoft.com/office/drawing/2015/06/chart">
            <c:ext xmlns:c16="http://schemas.microsoft.com/office/drawing/2014/chart" uri="{C3380CC4-5D6E-409C-BE32-E72D297353CC}">
              <c16:uniqueId val="{00000000-3D13-4F48-9332-79C1504C1704}"/>
            </c:ext>
          </c:extLst>
        </c:ser>
        <c:ser>
          <c:idx val="1"/>
          <c:order val="1"/>
          <c:tx>
            <c:strRef>
              <c:f>Feuil1!$C$1</c:f>
              <c:strCache>
                <c:ptCount val="1"/>
                <c:pt idx="0">
                  <c:v>Rabat 2021</c:v>
                </c:pt>
              </c:strCache>
            </c:strRef>
          </c:tx>
          <c:spPr>
            <a:ln>
              <a:solidFill>
                <a:srgbClr val="0070C0"/>
              </a:solidFill>
            </a:ln>
          </c:spPr>
          <c:marker>
            <c:spPr>
              <a:solidFill>
                <a:srgbClr val="0070C0"/>
              </a:solidFill>
              <a:ln>
                <a:solidFill>
                  <a:srgbClr val="0070C0"/>
                </a:solidFill>
              </a:ln>
            </c:spPr>
          </c:marker>
          <c:dLbls>
            <c:dLbl>
              <c:idx val="0"/>
              <c:layout>
                <c:manualLayout>
                  <c:x val="-3.2806359049678414E-2"/>
                  <c:y val="-0.15814175969518179"/>
                </c:manualLayout>
              </c:layout>
              <c:tx>
                <c:rich>
                  <a:bodyPr/>
                  <a:lstStyle/>
                  <a:p>
                    <a:pPr>
                      <a:defRPr sz="1000" b="1">
                        <a:solidFill>
                          <a:schemeClr val="tx1"/>
                        </a:solidFill>
                      </a:defRPr>
                    </a:pPr>
                    <a:r>
                      <a:rPr lang="en-US" sz="1000" b="1">
                        <a:solidFill>
                          <a:schemeClr val="tx1"/>
                        </a:solidFill>
                      </a:rPr>
                      <a:t>2,6</a:t>
                    </a:r>
                    <a:endParaRPr lang="en-US">
                      <a:solidFill>
                        <a:schemeClr val="tx1"/>
                      </a:solidFill>
                    </a:endParaRP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13-4F48-9332-79C1504C1704}"/>
                </c:ext>
              </c:extLst>
            </c:dLbl>
            <c:dLbl>
              <c:idx val="1"/>
              <c:layout>
                <c:manualLayout>
                  <c:x val="-3.9328940747691513E-2"/>
                  <c:y val="-0.18479773579216449"/>
                </c:manualLayout>
              </c:layout>
              <c:tx>
                <c:rich>
                  <a:bodyPr/>
                  <a:lstStyle/>
                  <a:p>
                    <a:r>
                      <a:rPr lang="en-US" sz="1000" b="1"/>
                      <a:t>3,3</a:t>
                    </a:r>
                    <a:endParaRPr lang="en-US"/>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D13-4F48-9332-79C1504C1704}"/>
                </c:ext>
              </c:extLst>
            </c:dLbl>
            <c:dLbl>
              <c:idx val="2"/>
              <c:layout>
                <c:manualLayout>
                  <c:x val="-4.7754409584812224E-2"/>
                  <c:y val="-0.23623061477628618"/>
                </c:manualLayout>
              </c:layout>
              <c:tx>
                <c:rich>
                  <a:bodyPr/>
                  <a:lstStyle/>
                  <a:p>
                    <a:r>
                      <a:rPr lang="en-US" sz="1000" b="1"/>
                      <a:t>4,4</a:t>
                    </a:r>
                    <a:endParaRPr lang="en-US"/>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13-4F48-9332-79C1504C1704}"/>
                </c:ext>
              </c:extLst>
            </c:dLbl>
            <c:dLbl>
              <c:idx val="3"/>
              <c:layout>
                <c:manualLayout>
                  <c:x val="-3.7035922646974855E-2"/>
                  <c:y val="-0.28322361793548662"/>
                </c:manualLayout>
              </c:layout>
              <c:tx>
                <c:rich>
                  <a:bodyPr/>
                  <a:lstStyle/>
                  <a:p>
                    <a:r>
                      <a:rPr lang="en-US" sz="1000" b="1">
                        <a:solidFill>
                          <a:schemeClr val="tx1"/>
                        </a:solidFill>
                      </a:rPr>
                      <a:t>5,3</a:t>
                    </a:r>
                    <a:endParaRPr lang="en-US" b="0">
                      <a:solidFill>
                        <a:schemeClr val="tx1"/>
                      </a:solidFill>
                    </a:endParaRP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D13-4F48-9332-79C1504C1704}"/>
                </c:ext>
              </c:extLst>
            </c:dLbl>
            <c:dLbl>
              <c:idx val="4"/>
              <c:layout>
                <c:manualLayout>
                  <c:x val="-3.3093815021826962E-2"/>
                  <c:y val="-0.29670963453328125"/>
                </c:manualLayout>
              </c:layout>
              <c:tx>
                <c:rich>
                  <a:bodyPr/>
                  <a:lstStyle/>
                  <a:p>
                    <a:pPr>
                      <a:defRPr sz="1000" b="1">
                        <a:solidFill>
                          <a:srgbClr val="FF0000"/>
                        </a:solidFill>
                      </a:defRPr>
                    </a:pPr>
                    <a:r>
                      <a:rPr lang="en-US" sz="1000" b="1">
                        <a:solidFill>
                          <a:sysClr val="windowText" lastClr="000000"/>
                        </a:solidFill>
                      </a:rPr>
                      <a:t>5,7</a:t>
                    </a:r>
                    <a:endParaRPr lang="en-US" b="1">
                      <a:solidFill>
                        <a:sysClr val="windowText" lastClr="000000"/>
                      </a:solidFill>
                    </a:endParaRP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D13-4F48-9332-79C1504C1704}"/>
                </c:ext>
              </c:extLst>
            </c:dLbl>
            <c:dLbl>
              <c:idx val="5"/>
              <c:layout>
                <c:manualLayout>
                  <c:x val="-3.9207226687337754E-2"/>
                  <c:y val="-0.35924398484132031"/>
                </c:manualLayout>
              </c:layout>
              <c:tx>
                <c:rich>
                  <a:bodyPr/>
                  <a:lstStyle/>
                  <a:p>
                    <a:r>
                      <a:rPr lang="en-US" sz="1000" b="1"/>
                      <a:t>6,8</a:t>
                    </a:r>
                    <a:endParaRPr lang="en-US"/>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D13-4F48-9332-79C1504C1704}"/>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D13-4F48-9332-79C1504C1704}"/>
                </c:ext>
              </c:extLst>
            </c:dLbl>
            <c:dLbl>
              <c:idx val="7"/>
              <c:layout>
                <c:manualLayout>
                  <c:x val="-4.0316932533692465E-2"/>
                  <c:y val="-0.3837182623712509"/>
                </c:manualLayout>
              </c:layout>
              <c:tx>
                <c:rich>
                  <a:bodyPr/>
                  <a:lstStyle/>
                  <a:p>
                    <a:r>
                      <a:rPr lang="en-US" sz="1000" b="1">
                        <a:solidFill>
                          <a:schemeClr val="tx1"/>
                        </a:solidFill>
                      </a:rPr>
                      <a:t>7,3</a:t>
                    </a:r>
                    <a:endParaRPr lang="en-US" b="0">
                      <a:solidFill>
                        <a:schemeClr val="tx1"/>
                      </a:solidFill>
                    </a:endParaRP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D13-4F48-9332-79C1504C1704}"/>
                </c:ext>
              </c:extLst>
            </c:dLbl>
            <c:dLbl>
              <c:idx val="8"/>
              <c:layout>
                <c:manualLayout>
                  <c:x val="-3.7575306325051357E-2"/>
                  <c:y val="-0.41511893258773475"/>
                </c:manualLayout>
              </c:layout>
              <c:tx>
                <c:rich>
                  <a:bodyPr/>
                  <a:lstStyle/>
                  <a:p>
                    <a:pPr>
                      <a:defRPr sz="1000" b="1">
                        <a:solidFill>
                          <a:srgbClr val="FF0000"/>
                        </a:solidFill>
                      </a:defRPr>
                    </a:pPr>
                    <a:r>
                      <a:rPr lang="en-US" sz="1000" b="1">
                        <a:solidFill>
                          <a:schemeClr val="tx1"/>
                        </a:solidFill>
                      </a:rPr>
                      <a:t>8,0</a:t>
                    </a:r>
                    <a:endParaRPr lang="en-US" b="1">
                      <a:solidFill>
                        <a:schemeClr val="tx1"/>
                      </a:solidFill>
                    </a:endParaRP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D13-4F48-9332-79C1504C1704}"/>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D13-4F48-9332-79C1504C1704}"/>
                </c:ext>
              </c:extLst>
            </c:dLbl>
            <c:dLbl>
              <c:idx val="10"/>
              <c:layout>
                <c:manualLayout>
                  <c:x val="-3.3686342383131763E-2"/>
                  <c:y val="-0.39752033606765241"/>
                </c:manualLayout>
              </c:layout>
              <c:tx>
                <c:rich>
                  <a:bodyPr/>
                  <a:lstStyle/>
                  <a:p>
                    <a:r>
                      <a:rPr lang="en-US" sz="1000" b="1"/>
                      <a:t>7,9</a:t>
                    </a:r>
                    <a:endParaRPr lang="en-US"/>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D13-4F48-9332-79C1504C1704}"/>
                </c:ext>
              </c:extLst>
            </c:dLbl>
            <c:dLbl>
              <c:idx val="11"/>
              <c:layout>
                <c:manualLayout>
                  <c:x val="-1.5335971604585861E-2"/>
                  <c:y val="-0.39436826271389736"/>
                </c:manualLayout>
              </c:layout>
              <c:tx>
                <c:rich>
                  <a:bodyPr/>
                  <a:lstStyle/>
                  <a:p>
                    <a:pPr>
                      <a:defRPr sz="1000" b="1">
                        <a:solidFill>
                          <a:schemeClr val="tx1"/>
                        </a:solidFill>
                      </a:defRPr>
                    </a:pPr>
                    <a:r>
                      <a:rPr lang="en-US" sz="1000" b="1">
                        <a:solidFill>
                          <a:schemeClr val="tx1"/>
                        </a:solidFill>
                      </a:rPr>
                      <a:t>7,8</a:t>
                    </a:r>
                    <a:endParaRPr lang="en-US">
                      <a:solidFill>
                        <a:schemeClr val="tx1"/>
                      </a:solidFill>
                    </a:endParaRP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D13-4F48-9332-79C1504C1704}"/>
                </c:ext>
              </c:extLst>
            </c:dLbl>
            <c:spPr>
              <a:noFill/>
              <a:ln>
                <a:noFill/>
              </a:ln>
              <a:effectLst/>
            </c:spPr>
            <c:txPr>
              <a:bodyPr/>
              <a:lstStyle/>
              <a:p>
                <a:pPr>
                  <a:defRPr sz="1000" b="1"/>
                </a:pPr>
                <a:endParaRPr lang="fr-FR"/>
              </a:p>
            </c:txPr>
            <c:dLblPos val="b"/>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Feuil1!$C$2:$C$13</c:f>
              <c:numCache>
                <c:formatCode>0.0</c:formatCode>
                <c:ptCount val="12"/>
                <c:pt idx="0">
                  <c:v>102.5</c:v>
                </c:pt>
                <c:pt idx="1">
                  <c:v>102.5</c:v>
                </c:pt>
                <c:pt idx="2">
                  <c:v>102.7</c:v>
                </c:pt>
                <c:pt idx="3">
                  <c:v>103.9</c:v>
                </c:pt>
                <c:pt idx="4">
                  <c:v>104.1</c:v>
                </c:pt>
                <c:pt idx="5">
                  <c:v>103.6</c:v>
                </c:pt>
                <c:pt idx="6">
                  <c:v>103.9</c:v>
                </c:pt>
                <c:pt idx="7">
                  <c:v>103.5</c:v>
                </c:pt>
                <c:pt idx="8">
                  <c:v>104.2</c:v>
                </c:pt>
                <c:pt idx="9">
                  <c:v>105</c:v>
                </c:pt>
                <c:pt idx="10">
                  <c:v>105</c:v>
                </c:pt>
                <c:pt idx="11">
                  <c:v>105</c:v>
                </c:pt>
              </c:numCache>
            </c:numRef>
          </c:val>
          <c:extLst xmlns:c16r2="http://schemas.microsoft.com/office/drawing/2015/06/chart">
            <c:ext xmlns:c16="http://schemas.microsoft.com/office/drawing/2014/chart" uri="{C3380CC4-5D6E-409C-BE32-E72D297353CC}">
              <c16:uniqueId val="{0000000D-3D13-4F48-9332-79C1504C1704}"/>
            </c:ext>
          </c:extLst>
        </c:ser>
        <c:dLbls>
          <c:showVal val="1"/>
        </c:dLbls>
        <c:hiLowLines>
          <c:spPr>
            <a:ln w="25400" cap="flat" cmpd="sng" algn="ctr">
              <a:solidFill>
                <a:schemeClr val="dk1"/>
              </a:solidFill>
              <a:prstDash val="solid"/>
            </a:ln>
            <a:effectLst>
              <a:outerShdw blurRad="40000" dist="20000" dir="5400000" rotWithShape="0">
                <a:srgbClr val="000000">
                  <a:alpha val="38000"/>
                </a:srgbClr>
              </a:outerShdw>
            </a:effectLst>
          </c:spPr>
        </c:hiLowLines>
        <c:marker val="1"/>
        <c:axId val="142417920"/>
        <c:axId val="142419456"/>
      </c:lineChart>
      <c:catAx>
        <c:axId val="142417920"/>
        <c:scaling>
          <c:orientation val="minMax"/>
        </c:scaling>
        <c:axPos val="b"/>
        <c:numFmt formatCode="General" sourceLinked="1"/>
        <c:majorTickMark val="none"/>
        <c:tickLblPos val="nextTo"/>
        <c:crossAx val="142419456"/>
        <c:crosses val="autoZero"/>
        <c:auto val="1"/>
        <c:lblAlgn val="ctr"/>
        <c:lblOffset val="100"/>
      </c:catAx>
      <c:valAx>
        <c:axId val="142419456"/>
        <c:scaling>
          <c:orientation val="minMax"/>
          <c:max val="114"/>
          <c:min val="100"/>
        </c:scaling>
        <c:axPos val="l"/>
        <c:numFmt formatCode="0.0" sourceLinked="1"/>
        <c:majorTickMark val="none"/>
        <c:tickLblPos val="nextTo"/>
        <c:txPr>
          <a:bodyPr/>
          <a:lstStyle/>
          <a:p>
            <a:pPr>
              <a:defRPr sz="900"/>
            </a:pPr>
            <a:endParaRPr lang="fr-FR"/>
          </a:p>
        </c:txPr>
        <c:crossAx val="142417920"/>
        <c:crosses val="autoZero"/>
        <c:crossBetween val="between"/>
        <c:majorUnit val="2"/>
        <c:minorUnit val="0.2"/>
      </c:valAx>
      <c:dTable>
        <c:showHorzBorder val="1"/>
        <c:showVertBorder val="1"/>
        <c:showOutline val="1"/>
        <c:showKeys val="1"/>
        <c:txPr>
          <a:bodyPr/>
          <a:lstStyle/>
          <a:p>
            <a:pPr rtl="0">
              <a:defRPr sz="900"/>
            </a:pPr>
            <a:endParaRPr lang="fr-FR"/>
          </a:p>
        </c:txPr>
      </c:dTable>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19050" cap="flat" cmpd="sng" algn="ctr">
      <a:solidFill>
        <a:schemeClr val="tx1"/>
      </a:solidFill>
      <a:prstDash val="solid"/>
    </a:ln>
    <a:effectLst/>
  </c:spPr>
  <c:txPr>
    <a:bodyPr/>
    <a:lstStyle/>
    <a:p>
      <a:pPr>
        <a:defRPr sz="1050">
          <a:solidFill>
            <a:schemeClr val="dk1"/>
          </a:solidFill>
          <a:latin typeface="+mn-lt"/>
          <a:ea typeface="+mn-ea"/>
          <a:cs typeface="+mn-cs"/>
        </a:defRPr>
      </a:pPr>
      <a:endParaRPr lang="fr-F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solidFill>
                  <a:schemeClr val="accent6">
                    <a:lumMod val="75000"/>
                  </a:schemeClr>
                </a:solidFill>
              </a:defRPr>
            </a:pPr>
            <a:r>
              <a:rPr lang="fr-FR" sz="1050">
                <a:solidFill>
                  <a:schemeClr val="accent6">
                    <a:lumMod val="75000"/>
                  </a:schemeClr>
                </a:solidFill>
              </a:rPr>
              <a:t>Figure 3: Evolution mensuelle des indices: général, alimentaire et non alimentaire de la ville de Rabat en 2022 </a:t>
            </a:r>
          </a:p>
        </c:rich>
      </c:tx>
      <c:layout>
        <c:manualLayout>
          <c:xMode val="edge"/>
          <c:yMode val="edge"/>
          <c:x val="0.13176124549755641"/>
          <c:y val="2.0620964900335933E-2"/>
        </c:manualLayout>
      </c:layout>
    </c:title>
    <c:plotArea>
      <c:layout>
        <c:manualLayout>
          <c:layoutTarget val="inner"/>
          <c:xMode val="edge"/>
          <c:yMode val="edge"/>
          <c:x val="6.9046484578133588E-2"/>
          <c:y val="0.1445028212213629"/>
          <c:w val="0.87911905306524463"/>
          <c:h val="0.68134024700994"/>
        </c:manualLayout>
      </c:layout>
      <c:lineChart>
        <c:grouping val="standard"/>
        <c:ser>
          <c:idx val="0"/>
          <c:order val="0"/>
          <c:tx>
            <c:strRef>
              <c:f>Feuil1!$B$1</c:f>
              <c:strCache>
                <c:ptCount val="1"/>
                <c:pt idx="0">
                  <c:v>IPC Alimentaire</c:v>
                </c:pt>
              </c:strCache>
            </c:strRef>
          </c:tx>
          <c:spPr>
            <a:ln>
              <a:solidFill>
                <a:srgbClr val="00B050"/>
              </a:solidFill>
            </a:ln>
          </c:spPr>
          <c:marker>
            <c:spPr>
              <a:solidFill>
                <a:srgbClr val="00B050"/>
              </a:solidFill>
              <a:ln>
                <a:solidFill>
                  <a:srgbClr val="00B050"/>
                </a:solidFill>
              </a:ln>
            </c:spPr>
          </c:marker>
          <c:dLbls>
            <c:dLbl>
              <c:idx val="0"/>
              <c:layout>
                <c:manualLayout>
                  <c:x val="-4.3846483704974272E-2"/>
                  <c:y val="-4.00874635568514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19-4749-B420-404401071C7D}"/>
                </c:ext>
              </c:extLst>
            </c:dLbl>
            <c:dLbl>
              <c:idx val="1"/>
              <c:layout>
                <c:manualLayout>
                  <c:x val="-3.7414236706689558E-2"/>
                  <c:y val="-4.008746355685132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19-4749-B420-404401071C7D}"/>
                </c:ext>
              </c:extLst>
            </c:dLbl>
            <c:dLbl>
              <c:idx val="2"/>
              <c:layout>
                <c:manualLayout>
                  <c:x val="-5.8855060034305323E-2"/>
                  <c:y val="-4.373177842565604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19-4749-B420-404401071C7D}"/>
                </c:ext>
              </c:extLst>
            </c:dLbl>
            <c:dLbl>
              <c:idx val="3"/>
              <c:layout>
                <c:manualLayout>
                  <c:x val="-5.0278730703258993E-2"/>
                  <c:y val="-2.18658892128279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19-4749-B420-404401071C7D}"/>
                </c:ext>
              </c:extLst>
            </c:dLbl>
            <c:dLbl>
              <c:idx val="4"/>
              <c:layout>
                <c:manualLayout>
                  <c:x val="-4.599056603773588E-2"/>
                  <c:y val="-3.279883381924198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19-4749-B420-404401071C7D}"/>
                </c:ext>
              </c:extLst>
            </c:dLbl>
            <c:dLbl>
              <c:idx val="5"/>
              <c:layout>
                <c:manualLayout>
                  <c:x val="-4.599056603773588E-2"/>
                  <c:y val="-2.915451895043730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19-4749-B420-404401071C7D}"/>
                </c:ext>
              </c:extLst>
            </c:dLbl>
            <c:dLbl>
              <c:idx val="6"/>
              <c:layout>
                <c:manualLayout>
                  <c:x val="-4.599056603773588E-2"/>
                  <c:y val="-3.64431486880467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19-4749-B420-404401071C7D}"/>
                </c:ext>
              </c:extLst>
            </c:dLbl>
            <c:dLbl>
              <c:idx val="7"/>
              <c:layout>
                <c:manualLayout>
                  <c:x val="-4.5990566037735943E-2"/>
                  <c:y val="-4.3731778425656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619-4749-B420-404401071C7D}"/>
                </c:ext>
              </c:extLst>
            </c:dLbl>
            <c:dLbl>
              <c:idx val="8"/>
              <c:layout>
                <c:manualLayout>
                  <c:x val="-4.599056603773588E-2"/>
                  <c:y val="-2.551020408163264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19-4749-B420-404401071C7D}"/>
                </c:ext>
              </c:extLst>
            </c:dLbl>
            <c:dLbl>
              <c:idx val="9"/>
              <c:layout>
                <c:manualLayout>
                  <c:x val="-4.599056603773604E-2"/>
                  <c:y val="-1.822157434402333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19-4749-B420-404401071C7D}"/>
                </c:ext>
              </c:extLst>
            </c:dLbl>
            <c:dLbl>
              <c:idx val="10"/>
              <c:layout>
                <c:manualLayout>
                  <c:x val="-4.2409948542024005E-2"/>
                  <c:y val="-2.551020408163264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19-4749-B420-404401071C7D}"/>
                </c:ext>
              </c:extLst>
            </c:dLbl>
            <c:dLbl>
              <c:idx val="11"/>
              <c:layout>
                <c:manualLayout>
                  <c:x val="-4.2409948542024005E-2"/>
                  <c:y val="-2.915451895043730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619-4749-B420-404401071C7D}"/>
                </c:ext>
              </c:extLst>
            </c:dLbl>
            <c:spPr>
              <a:noFill/>
              <a:ln>
                <a:noFill/>
              </a:ln>
              <a:effectLst/>
            </c:spPr>
            <c:txPr>
              <a:bodyPr wrap="square" lIns="38100" tIns="19050" rIns="38100" bIns="19050" anchor="ctr">
                <a:spAutoFit/>
              </a:bodyPr>
              <a:lstStyle/>
              <a:p>
                <a:pPr>
                  <a:defRPr sz="800" b="1">
                    <a:solidFill>
                      <a:srgbClr val="00B050"/>
                    </a:solidFill>
                  </a:defRPr>
                </a:pPr>
                <a:endParaRPr lang="fr-FR"/>
              </a:p>
            </c:txPr>
            <c:dLblPos val="ct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janvier</c:v>
                </c:pt>
                <c:pt idx="1">
                  <c:v>février</c:v>
                </c:pt>
                <c:pt idx="2">
                  <c:v>mars</c:v>
                </c:pt>
                <c:pt idx="3">
                  <c:v>avril</c:v>
                </c:pt>
                <c:pt idx="4">
                  <c:v>mai</c:v>
                </c:pt>
                <c:pt idx="5">
                  <c:v>juin</c:v>
                </c:pt>
                <c:pt idx="6">
                  <c:v>juillet</c:v>
                </c:pt>
                <c:pt idx="7">
                  <c:v>aout</c:v>
                </c:pt>
                <c:pt idx="8">
                  <c:v>septembre</c:v>
                </c:pt>
                <c:pt idx="9">
                  <c:v>octobre</c:v>
                </c:pt>
                <c:pt idx="10">
                  <c:v>novembre</c:v>
                </c:pt>
                <c:pt idx="11">
                  <c:v>décembre</c:v>
                </c:pt>
              </c:strCache>
            </c:strRef>
          </c:cat>
          <c:val>
            <c:numRef>
              <c:f>Feuil1!$B$2:$B$13</c:f>
              <c:numCache>
                <c:formatCode>0.0</c:formatCode>
                <c:ptCount val="12"/>
                <c:pt idx="0" formatCode="General">
                  <c:v>104.9</c:v>
                </c:pt>
                <c:pt idx="1">
                  <c:v>106.1</c:v>
                </c:pt>
                <c:pt idx="2" formatCode="General">
                  <c:v>109.6</c:v>
                </c:pt>
                <c:pt idx="3" formatCode="General">
                  <c:v>113.5</c:v>
                </c:pt>
                <c:pt idx="4">
                  <c:v>114</c:v>
                </c:pt>
                <c:pt idx="5" formatCode="General">
                  <c:v>113.8</c:v>
                </c:pt>
                <c:pt idx="6" formatCode="General">
                  <c:v>115.1</c:v>
                </c:pt>
                <c:pt idx="7" formatCode="General">
                  <c:v>115.2</c:v>
                </c:pt>
                <c:pt idx="8" formatCode="General">
                  <c:v>118.2</c:v>
                </c:pt>
                <c:pt idx="9">
                  <c:v>119</c:v>
                </c:pt>
                <c:pt idx="10" formatCode="General">
                  <c:v>119.1</c:v>
                </c:pt>
                <c:pt idx="11">
                  <c:v>119.9</c:v>
                </c:pt>
              </c:numCache>
            </c:numRef>
          </c:val>
          <c:extLst xmlns:c16r2="http://schemas.microsoft.com/office/drawing/2015/06/chart">
            <c:ext xmlns:c16="http://schemas.microsoft.com/office/drawing/2014/chart" uri="{C3380CC4-5D6E-409C-BE32-E72D297353CC}">
              <c16:uniqueId val="{00000000-879D-4E9B-AE37-15180C290873}"/>
            </c:ext>
          </c:extLst>
        </c:ser>
        <c:ser>
          <c:idx val="1"/>
          <c:order val="1"/>
          <c:tx>
            <c:strRef>
              <c:f>Feuil1!$C$1</c:f>
              <c:strCache>
                <c:ptCount val="1"/>
                <c:pt idx="0">
                  <c:v>IPC Non Alimentaire</c:v>
                </c:pt>
              </c:strCache>
            </c:strRef>
          </c:tx>
          <c:marker>
            <c:spPr>
              <a:solidFill>
                <a:srgbClr val="C00000"/>
              </a:solidFill>
            </c:spPr>
          </c:marker>
          <c:dLbls>
            <c:dLbl>
              <c:idx val="0"/>
              <c:layout>
                <c:manualLayout>
                  <c:x val="-4.2115179427614426E-2"/>
                  <c:y val="3.601501342944379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619-4749-B420-404401071C7D}"/>
                </c:ext>
              </c:extLst>
            </c:dLbl>
            <c:spPr>
              <a:noFill/>
              <a:ln>
                <a:noFill/>
              </a:ln>
              <a:effectLst/>
            </c:spPr>
            <c:txPr>
              <a:bodyPr wrap="square" lIns="38100" tIns="19050" rIns="38100" bIns="19050" anchor="ctr">
                <a:spAutoFit/>
              </a:bodyPr>
              <a:lstStyle/>
              <a:p>
                <a:pPr>
                  <a:defRPr sz="800" b="1">
                    <a:solidFill>
                      <a:srgbClr val="C00000"/>
                    </a:solidFill>
                  </a:defRPr>
                </a:pPr>
                <a:endParaRPr lang="fr-FR"/>
              </a:p>
            </c:txPr>
            <c:dLblPos val="b"/>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janvier</c:v>
                </c:pt>
                <c:pt idx="1">
                  <c:v>février</c:v>
                </c:pt>
                <c:pt idx="2">
                  <c:v>mars</c:v>
                </c:pt>
                <c:pt idx="3">
                  <c:v>avril</c:v>
                </c:pt>
                <c:pt idx="4">
                  <c:v>mai</c:v>
                </c:pt>
                <c:pt idx="5">
                  <c:v>juin</c:v>
                </c:pt>
                <c:pt idx="6">
                  <c:v>juillet</c:v>
                </c:pt>
                <c:pt idx="7">
                  <c:v>aout</c:v>
                </c:pt>
                <c:pt idx="8">
                  <c:v>septembre</c:v>
                </c:pt>
                <c:pt idx="9">
                  <c:v>octobre</c:v>
                </c:pt>
                <c:pt idx="10">
                  <c:v>novembre</c:v>
                </c:pt>
                <c:pt idx="11">
                  <c:v>décembre</c:v>
                </c:pt>
              </c:strCache>
            </c:strRef>
          </c:cat>
          <c:val>
            <c:numRef>
              <c:f>Feuil1!$C$2:$C$13</c:f>
              <c:numCache>
                <c:formatCode>General</c:formatCode>
                <c:ptCount val="12"/>
                <c:pt idx="0">
                  <c:v>105.1</c:v>
                </c:pt>
                <c:pt idx="1">
                  <c:v>105.5</c:v>
                </c:pt>
                <c:pt idx="2">
                  <c:v>105.6</c:v>
                </c:pt>
                <c:pt idx="3">
                  <c:v>106.9</c:v>
                </c:pt>
                <c:pt idx="4">
                  <c:v>107.4</c:v>
                </c:pt>
                <c:pt idx="5">
                  <c:v>108.5</c:v>
                </c:pt>
                <c:pt idx="6">
                  <c:v>109.2</c:v>
                </c:pt>
                <c:pt idx="7">
                  <c:v>108.3</c:v>
                </c:pt>
                <c:pt idx="8" formatCode="0.0">
                  <c:v>108.9</c:v>
                </c:pt>
                <c:pt idx="9">
                  <c:v>108.8</c:v>
                </c:pt>
                <c:pt idx="10">
                  <c:v>109.5</c:v>
                </c:pt>
                <c:pt idx="11">
                  <c:v>108.9</c:v>
                </c:pt>
              </c:numCache>
            </c:numRef>
          </c:val>
          <c:extLst xmlns:c16r2="http://schemas.microsoft.com/office/drawing/2015/06/chart">
            <c:ext xmlns:c16="http://schemas.microsoft.com/office/drawing/2014/chart" uri="{C3380CC4-5D6E-409C-BE32-E72D297353CC}">
              <c16:uniqueId val="{00000001-879D-4E9B-AE37-15180C290873}"/>
            </c:ext>
          </c:extLst>
        </c:ser>
        <c:ser>
          <c:idx val="2"/>
          <c:order val="2"/>
          <c:tx>
            <c:strRef>
              <c:f>Feuil1!$D$1</c:f>
              <c:strCache>
                <c:ptCount val="1"/>
                <c:pt idx="0">
                  <c:v>IPC Général</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619-4749-B420-404401071C7D}"/>
                </c:ext>
              </c:extLst>
            </c:dLbl>
            <c:dLbl>
              <c:idx val="1"/>
              <c:layout>
                <c:manualLayout>
                  <c:x val="-7.24271012006861E-2"/>
                  <c:y val="-2.001647115539128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619-4749-B420-404401071C7D}"/>
                </c:ext>
              </c:extLst>
            </c:dLbl>
            <c:dLbl>
              <c:idx val="2"/>
              <c:layout>
                <c:manualLayout>
                  <c:x val="-4.2409948542024005E-2"/>
                  <c:y val="-2.730510089300068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619-4749-B420-404401071C7D}"/>
                </c:ext>
              </c:extLst>
            </c:dLbl>
            <c:dLbl>
              <c:idx val="3"/>
              <c:layout>
                <c:manualLayout>
                  <c:x val="-4.0265866209262452E-2"/>
                  <c:y val="-2.730510089300063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619-4749-B420-404401071C7D}"/>
                </c:ext>
              </c:extLst>
            </c:dLbl>
            <c:spPr>
              <a:noFill/>
              <a:ln>
                <a:noFill/>
              </a:ln>
              <a:effectLst/>
            </c:spPr>
            <c:txPr>
              <a:bodyPr wrap="square" lIns="38100" tIns="19050" rIns="38100" bIns="19050" anchor="ctr">
                <a:spAutoFit/>
              </a:bodyPr>
              <a:lstStyle/>
              <a:p>
                <a:pPr>
                  <a:defRPr sz="800" b="1">
                    <a:solidFill>
                      <a:srgbClr val="002060"/>
                    </a:solidFill>
                  </a:defRPr>
                </a:pPr>
                <a:endParaRPr lang="fr-FR"/>
              </a:p>
            </c:txPr>
            <c:dLblPos val="t"/>
            <c:showVal val="1"/>
            <c:extLst xmlns:c16r2="http://schemas.microsoft.com/office/drawing/2015/06/chart">
              <c:ext xmlns:c15="http://schemas.microsoft.com/office/drawing/2012/chart" uri="{CE6537A1-D6FC-4f65-9D91-7224C49458BB}">
                <c15:showLeaderLines val="1"/>
              </c:ext>
            </c:extLst>
          </c:dLbls>
          <c:cat>
            <c:strRef>
              <c:f>Feuil1!$A$2:$A$13</c:f>
              <c:strCache>
                <c:ptCount val="12"/>
                <c:pt idx="0">
                  <c:v>janvier</c:v>
                </c:pt>
                <c:pt idx="1">
                  <c:v>février</c:v>
                </c:pt>
                <c:pt idx="2">
                  <c:v>mars</c:v>
                </c:pt>
                <c:pt idx="3">
                  <c:v>avril</c:v>
                </c:pt>
                <c:pt idx="4">
                  <c:v>mai</c:v>
                </c:pt>
                <c:pt idx="5">
                  <c:v>juin</c:v>
                </c:pt>
                <c:pt idx="6">
                  <c:v>juillet</c:v>
                </c:pt>
                <c:pt idx="7">
                  <c:v>aout</c:v>
                </c:pt>
                <c:pt idx="8">
                  <c:v>septembre</c:v>
                </c:pt>
                <c:pt idx="9">
                  <c:v>octobre</c:v>
                </c:pt>
                <c:pt idx="10">
                  <c:v>novembre</c:v>
                </c:pt>
                <c:pt idx="11">
                  <c:v>décembre</c:v>
                </c:pt>
              </c:strCache>
            </c:strRef>
          </c:cat>
          <c:val>
            <c:numRef>
              <c:f>Feuil1!$D$2:$D$13</c:f>
              <c:numCache>
                <c:formatCode>General</c:formatCode>
                <c:ptCount val="12"/>
                <c:pt idx="0">
                  <c:v>105.1</c:v>
                </c:pt>
                <c:pt idx="1">
                  <c:v>105.8</c:v>
                </c:pt>
                <c:pt idx="2">
                  <c:v>107.1</c:v>
                </c:pt>
                <c:pt idx="3">
                  <c:v>109.2</c:v>
                </c:pt>
                <c:pt idx="4">
                  <c:v>109.8</c:v>
                </c:pt>
                <c:pt idx="5">
                  <c:v>110.4</c:v>
                </c:pt>
                <c:pt idx="6">
                  <c:v>111.3</c:v>
                </c:pt>
                <c:pt idx="7">
                  <c:v>110.8</c:v>
                </c:pt>
                <c:pt idx="8">
                  <c:v>112.2</c:v>
                </c:pt>
                <c:pt idx="9" formatCode="0.0">
                  <c:v>112.4</c:v>
                </c:pt>
                <c:pt idx="10" formatCode="0.0">
                  <c:v>112.9</c:v>
                </c:pt>
                <c:pt idx="11" formatCode="0.0">
                  <c:v>112.8</c:v>
                </c:pt>
              </c:numCache>
            </c:numRef>
          </c:val>
          <c:extLst xmlns:c16r2="http://schemas.microsoft.com/office/drawing/2015/06/chart">
            <c:ext xmlns:c16="http://schemas.microsoft.com/office/drawing/2014/chart" uri="{C3380CC4-5D6E-409C-BE32-E72D297353CC}">
              <c16:uniqueId val="{00000002-879D-4E9B-AE37-15180C290873}"/>
            </c:ext>
          </c:extLst>
        </c:ser>
        <c:dLbls>
          <c:showVal val="1"/>
        </c:dLbls>
        <c:marker val="1"/>
        <c:axId val="144548992"/>
        <c:axId val="144550528"/>
      </c:lineChart>
      <c:catAx>
        <c:axId val="144548992"/>
        <c:scaling>
          <c:orientation val="minMax"/>
        </c:scaling>
        <c:axPos val="b"/>
        <c:numFmt formatCode="General" sourceLinked="0"/>
        <c:tickLblPos val="nextTo"/>
        <c:txPr>
          <a:bodyPr/>
          <a:lstStyle/>
          <a:p>
            <a:pPr>
              <a:defRPr sz="800" b="1"/>
            </a:pPr>
            <a:endParaRPr lang="fr-FR"/>
          </a:p>
        </c:txPr>
        <c:crossAx val="144550528"/>
        <c:crosses val="autoZero"/>
        <c:auto val="1"/>
        <c:lblAlgn val="ctr"/>
        <c:lblOffset val="100"/>
      </c:catAx>
      <c:valAx>
        <c:axId val="144550528"/>
        <c:scaling>
          <c:orientation val="minMax"/>
          <c:max val="122"/>
          <c:min val="100"/>
        </c:scaling>
        <c:axPos val="l"/>
        <c:numFmt formatCode="General" sourceLinked="1"/>
        <c:tickLblPos val="nextTo"/>
        <c:txPr>
          <a:bodyPr/>
          <a:lstStyle/>
          <a:p>
            <a:pPr>
              <a:defRPr b="1"/>
            </a:pPr>
            <a:endParaRPr lang="fr-FR"/>
          </a:p>
        </c:txPr>
        <c:crossAx val="144548992"/>
        <c:crosses val="autoZero"/>
        <c:crossBetween val="between"/>
        <c:majorUnit val="2"/>
      </c:valA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5.0205454617013694E-2"/>
          <c:y val="0.91958518495933295"/>
          <c:w val="0.85725377773877465"/>
          <c:h val="6.3575839970473738E-2"/>
        </c:manualLayout>
      </c:layout>
      <c:txPr>
        <a:bodyPr/>
        <a:lstStyle/>
        <a:p>
          <a:pPr>
            <a:defRPr sz="900" b="1"/>
          </a:pPr>
          <a:endParaRPr lang="fr-FR"/>
        </a:p>
      </c:txPr>
    </c:legend>
    <c:plotVisOnly val="1"/>
    <c:dispBlanksAs val="gap"/>
  </c:chart>
  <c:spPr>
    <a:solidFill>
      <a:schemeClr val="lt1"/>
    </a:solidFill>
    <a:ln w="2540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solidFill>
                  <a:schemeClr val="accent6">
                    <a:lumMod val="75000"/>
                  </a:schemeClr>
                </a:solidFill>
              </a:defRPr>
            </a:pPr>
            <a:r>
              <a:rPr lang="en-US" sz="1050">
                <a:solidFill>
                  <a:schemeClr val="accent6">
                    <a:lumMod val="75000"/>
                  </a:schemeClr>
                </a:solidFill>
              </a:rPr>
              <a:t>Figure 4: Evolution de l'ipc général entre 2017 et 2022</a:t>
            </a:r>
          </a:p>
        </c:rich>
      </c:tx>
      <c:layout>
        <c:manualLayout>
          <c:xMode val="edge"/>
          <c:yMode val="edge"/>
          <c:x val="0.26423409987359275"/>
          <c:y val="2.8307655255922229E-2"/>
        </c:manualLayout>
      </c:layout>
    </c:title>
    <c:plotArea>
      <c:layout>
        <c:manualLayout>
          <c:layoutTarget val="inner"/>
          <c:xMode val="edge"/>
          <c:yMode val="edge"/>
          <c:x val="0.14610227511292145"/>
          <c:y val="0.11948653198653204"/>
          <c:w val="0.82580135816357003"/>
          <c:h val="0.69937630902197812"/>
        </c:manualLayout>
      </c:layout>
      <c:lineChart>
        <c:grouping val="standard"/>
        <c:ser>
          <c:idx val="0"/>
          <c:order val="0"/>
          <c:tx>
            <c:strRef>
              <c:f>Feuil1!$B$1</c:f>
              <c:strCache>
                <c:ptCount val="1"/>
                <c:pt idx="0">
                  <c:v>Maroc</c:v>
                </c:pt>
              </c:strCache>
            </c:strRef>
          </c:tx>
          <c:spPr>
            <a:ln>
              <a:solidFill>
                <a:srgbClr val="C00000"/>
              </a:solidFill>
            </a:ln>
          </c:spPr>
          <c:marker>
            <c:spPr>
              <a:solidFill>
                <a:srgbClr val="C00000"/>
              </a:solidFill>
              <a:ln>
                <a:solidFill>
                  <a:srgbClr val="C00000"/>
                </a:solidFill>
              </a:ln>
            </c:spPr>
          </c:marker>
          <c:dLbls>
            <c:dLbl>
              <c:idx val="0"/>
              <c:layout>
                <c:manualLayout>
                  <c:x val="-6.0714730465230522E-2"/>
                  <c:y val="-3.8928949511911226E-2"/>
                </c:manualLayout>
              </c:layout>
              <c:tx>
                <c:rich>
                  <a:bodyPr wrap="square" lIns="38100" tIns="19050" rIns="38100" bIns="19050" anchor="ctr">
                    <a:spAutoFit/>
                  </a:bodyPr>
                  <a:lstStyle/>
                  <a:p>
                    <a:pPr>
                      <a:defRPr sz="900"/>
                    </a:pPr>
                    <a:r>
                      <a:rPr lang="en-US" sz="900" b="1">
                        <a:solidFill>
                          <a:srgbClr val="FF0000"/>
                        </a:solidFill>
                      </a:rPr>
                      <a:t>0,0%</a:t>
                    </a:r>
                    <a:endParaRPr lang="en-US" sz="900"/>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26-4368-BDDF-F9EEC4C6BB34}"/>
                </c:ext>
              </c:extLst>
            </c:dLbl>
            <c:dLbl>
              <c:idx val="1"/>
              <c:layout>
                <c:manualLayout>
                  <c:x val="-5.5557163054068111E-2"/>
                  <c:y val="-4.2467944922085096E-2"/>
                </c:manualLayout>
              </c:layout>
              <c:tx>
                <c:rich>
                  <a:bodyPr wrap="square" lIns="38100" tIns="19050" rIns="38100" bIns="19050" anchor="ctr">
                    <a:spAutoFit/>
                  </a:bodyPr>
                  <a:lstStyle/>
                  <a:p>
                    <a:pPr>
                      <a:defRPr sz="900"/>
                    </a:pPr>
                    <a:r>
                      <a:rPr lang="en-US" sz="900" b="1">
                        <a:solidFill>
                          <a:srgbClr val="FF0000"/>
                        </a:solidFill>
                      </a:rPr>
                      <a:t>1,6%</a:t>
                    </a:r>
                    <a:endParaRPr lang="en-US" sz="900"/>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26-4368-BDDF-F9EEC4C6BB34}"/>
                </c:ext>
              </c:extLst>
            </c:dLbl>
            <c:dLbl>
              <c:idx val="2"/>
              <c:layout>
                <c:manualLayout>
                  <c:x val="-4.8579805586281041E-2"/>
                  <c:y val="-4.2467944922085096E-2"/>
                </c:manualLayout>
              </c:layout>
              <c:tx>
                <c:rich>
                  <a:bodyPr wrap="square" lIns="38100" tIns="19050" rIns="38100" bIns="19050" anchor="ctr">
                    <a:spAutoFit/>
                  </a:bodyPr>
                  <a:lstStyle/>
                  <a:p>
                    <a:pPr>
                      <a:defRPr sz="900"/>
                    </a:pPr>
                    <a:r>
                      <a:rPr lang="en-US" sz="900" b="1">
                        <a:solidFill>
                          <a:srgbClr val="FF0000"/>
                        </a:solidFill>
                      </a:rPr>
                      <a:t>0,2%</a:t>
                    </a:r>
                    <a:endParaRPr lang="en-US" sz="900"/>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26-4368-BDDF-F9EEC4C6BB34}"/>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26-4368-BDDF-F9EEC4C6BB34}"/>
                </c:ext>
              </c:extLst>
            </c:dLbl>
            <c:dLbl>
              <c:idx val="4"/>
              <c:layout>
                <c:manualLayout>
                  <c:x val="-7.090464547677261E-2"/>
                  <c:y val="-3.7376057159521817E-2"/>
                </c:manualLayout>
              </c:layout>
              <c:tx>
                <c:rich>
                  <a:bodyPr wrap="square" lIns="38100" tIns="19050" rIns="38100" bIns="19050" anchor="ctr">
                    <a:spAutoFit/>
                  </a:bodyPr>
                  <a:lstStyle/>
                  <a:p>
                    <a:pPr>
                      <a:defRPr sz="900" b="1">
                        <a:solidFill>
                          <a:srgbClr val="FF0000"/>
                        </a:solidFill>
                      </a:defRPr>
                    </a:pPr>
                    <a:r>
                      <a:rPr lang="en-US" sz="900" b="1">
                        <a:solidFill>
                          <a:srgbClr val="FF0000"/>
                        </a:solidFill>
                      </a:rPr>
                      <a:t>1,4%</a:t>
                    </a:r>
                  </a:p>
                </c:rich>
              </c:tx>
              <c:spPr>
                <a:noFill/>
                <a:ln>
                  <a:noFill/>
                </a:ln>
                <a:effectLst/>
              </c:sp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769-41CC-A95B-CA3739BD2667}"/>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828-4240-86FF-F9FAEA6EFDEF}"/>
                </c:ext>
              </c:extLst>
            </c:dLbl>
            <c:spPr>
              <a:noFill/>
              <a:ln>
                <a:noFill/>
              </a:ln>
              <a:effectLst/>
            </c:spPr>
            <c:txPr>
              <a:bodyPr wrap="square" lIns="38100" tIns="19050" rIns="38100" bIns="19050" anchor="ctr">
                <a:spAutoFit/>
              </a:bodyPr>
              <a:lstStyle/>
              <a:p>
                <a:pPr>
                  <a:defRPr sz="800"/>
                </a:pPr>
                <a:endParaRPr lang="fr-FR"/>
              </a:p>
            </c:txPr>
            <c:dLblPos val="ctr"/>
            <c:showVal val="1"/>
            <c:extLst xmlns:c16r2="http://schemas.microsoft.com/office/drawing/2015/06/chart">
              <c:ext xmlns:c15="http://schemas.microsoft.com/office/drawing/2012/chart" uri="{CE6537A1-D6FC-4f65-9D91-7224C49458BB}">
                <c15:showLeaderLines val="0"/>
              </c:ext>
            </c:extLst>
          </c:dLbls>
          <c:cat>
            <c:numRef>
              <c:f>Feuil1!$A$2:$A$7</c:f>
              <c:numCache>
                <c:formatCode>General</c:formatCode>
                <c:ptCount val="6"/>
                <c:pt idx="0">
                  <c:v>2017</c:v>
                </c:pt>
                <c:pt idx="1">
                  <c:v>2018</c:v>
                </c:pt>
                <c:pt idx="2">
                  <c:v>2019</c:v>
                </c:pt>
                <c:pt idx="3">
                  <c:v>2020</c:v>
                </c:pt>
                <c:pt idx="4">
                  <c:v>2021</c:v>
                </c:pt>
                <c:pt idx="5">
                  <c:v>2022</c:v>
                </c:pt>
              </c:numCache>
            </c:numRef>
          </c:cat>
          <c:val>
            <c:numRef>
              <c:f>Feuil1!$B$2:$B$7</c:f>
              <c:numCache>
                <c:formatCode>General</c:formatCode>
                <c:ptCount val="6"/>
                <c:pt idx="0">
                  <c:v>100</c:v>
                </c:pt>
                <c:pt idx="1">
                  <c:v>101.6</c:v>
                </c:pt>
                <c:pt idx="2" formatCode="0.0">
                  <c:v>101.8</c:v>
                </c:pt>
                <c:pt idx="3">
                  <c:v>102.5</c:v>
                </c:pt>
                <c:pt idx="4">
                  <c:v>103.9</c:v>
                </c:pt>
                <c:pt idx="5">
                  <c:v>110.8</c:v>
                </c:pt>
              </c:numCache>
            </c:numRef>
          </c:val>
          <c:extLst xmlns:c16r2="http://schemas.microsoft.com/office/drawing/2015/06/chart">
            <c:ext xmlns:c16="http://schemas.microsoft.com/office/drawing/2014/chart" uri="{C3380CC4-5D6E-409C-BE32-E72D297353CC}">
              <c16:uniqueId val="{00000004-D226-4368-BDDF-F9EEC4C6BB34}"/>
            </c:ext>
          </c:extLst>
        </c:ser>
        <c:ser>
          <c:idx val="1"/>
          <c:order val="1"/>
          <c:tx>
            <c:strRef>
              <c:f>Feuil1!$C$1</c:f>
              <c:strCache>
                <c:ptCount val="1"/>
                <c:pt idx="0">
                  <c:v>Rabat</c:v>
                </c:pt>
              </c:strCache>
            </c:strRef>
          </c:tx>
          <c:spPr>
            <a:ln>
              <a:solidFill>
                <a:srgbClr val="0070C0"/>
              </a:solidFill>
            </a:ln>
          </c:spPr>
          <c:marker>
            <c:spPr>
              <a:solidFill>
                <a:srgbClr val="0070C0"/>
              </a:solidFill>
              <a:ln>
                <a:solidFill>
                  <a:srgbClr val="0070C0"/>
                </a:solidFill>
              </a:ln>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26-4368-BDDF-F9EEC4C6BB34}"/>
                </c:ext>
              </c:extLst>
            </c:dLbl>
            <c:dLbl>
              <c:idx val="1"/>
              <c:layout>
                <c:manualLayout>
                  <c:x val="-2.0649924871860455E-2"/>
                  <c:y val="3.5462565285399941E-2"/>
                </c:manualLayout>
              </c:layout>
              <c:tx>
                <c:rich>
                  <a:bodyPr/>
                  <a:lstStyle/>
                  <a:p>
                    <a:r>
                      <a:rPr lang="en-US" sz="900" b="1">
                        <a:solidFill>
                          <a:schemeClr val="accent1"/>
                        </a:solidFill>
                      </a:rPr>
                      <a:t>1,2%</a:t>
                    </a:r>
                    <a:endParaRPr lang="en-US" sz="900"/>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226-4368-BDDF-F9EEC4C6BB34}"/>
                </c:ext>
              </c:extLst>
            </c:dLbl>
            <c:dLbl>
              <c:idx val="2"/>
              <c:layout>
                <c:manualLayout>
                  <c:x val="-3.927455278359155E-2"/>
                  <c:y val="4.1276279858957023E-2"/>
                </c:manualLayout>
              </c:layout>
              <c:tx>
                <c:rich>
                  <a:bodyPr/>
                  <a:lstStyle/>
                  <a:p>
                    <a:r>
                      <a:rPr lang="en-US" sz="900" b="1">
                        <a:solidFill>
                          <a:schemeClr val="accent1"/>
                        </a:solidFill>
                      </a:rPr>
                      <a:t>0,4%</a:t>
                    </a:r>
                    <a:endParaRPr lang="en-US" sz="900"/>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226-4368-BDDF-F9EEC4C6BB34}"/>
                </c:ext>
              </c:extLst>
            </c:dLbl>
            <c:dLbl>
              <c:idx val="3"/>
              <c:layout>
                <c:manualLayout>
                  <c:x val="-1.5028194825280096E-2"/>
                  <c:y val="3.0890608039421778E-2"/>
                </c:manualLayout>
              </c:layout>
              <c:tx>
                <c:rich>
                  <a:bodyPr/>
                  <a:lstStyle/>
                  <a:p>
                    <a:r>
                      <a:rPr lang="en-US" sz="900" b="1">
                        <a:solidFill>
                          <a:schemeClr val="accent1"/>
                        </a:solidFill>
                      </a:rPr>
                      <a:t>0,9%</a:t>
                    </a:r>
                    <a:endParaRPr lang="en-US" sz="900"/>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226-4368-BDDF-F9EEC4C6BB34}"/>
                </c:ext>
              </c:extLst>
            </c:dLbl>
            <c:dLbl>
              <c:idx val="4"/>
              <c:layout>
                <c:manualLayout>
                  <c:x val="-4.7718057247734029E-2"/>
                  <c:y val="5.251641137855579E-2"/>
                </c:manualLayout>
              </c:layout>
              <c:tx>
                <c:rich>
                  <a:bodyPr/>
                  <a:lstStyle/>
                  <a:p>
                    <a:r>
                      <a:rPr lang="en-US" sz="900"/>
                      <a:t>1,3%</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69-41CC-A95B-CA3739BD2667}"/>
                </c:ext>
              </c:extLst>
            </c:dLbl>
            <c:dLbl>
              <c:idx val="5"/>
              <c:layout>
                <c:manualLayout>
                  <c:x val="-9.1512399580859285E-3"/>
                  <c:y val="3.7878787878787852E-2"/>
                </c:manualLayout>
              </c:layout>
              <c:tx>
                <c:rich>
                  <a:bodyPr/>
                  <a:lstStyle/>
                  <a:p>
                    <a:r>
                      <a:rPr lang="en-US"/>
                      <a:t>6,0%</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28-4240-86FF-F9FAEA6EFDEF}"/>
                </c:ext>
              </c:extLst>
            </c:dLbl>
            <c:spPr>
              <a:noFill/>
              <a:ln>
                <a:noFill/>
              </a:ln>
              <a:effectLst/>
            </c:spPr>
            <c:txPr>
              <a:bodyPr/>
              <a:lstStyle/>
              <a:p>
                <a:pPr>
                  <a:defRPr sz="900" b="1">
                    <a:solidFill>
                      <a:schemeClr val="accent1"/>
                    </a:solidFill>
                  </a:defRPr>
                </a:pPr>
                <a:endParaRPr lang="fr-FR"/>
              </a:p>
            </c:txPr>
            <c:dLblPos val="ctr"/>
            <c:showVal val="1"/>
            <c:extLst xmlns:c16r2="http://schemas.microsoft.com/office/drawing/2015/06/chart">
              <c:ext xmlns:c15="http://schemas.microsoft.com/office/drawing/2012/chart" uri="{CE6537A1-D6FC-4f65-9D91-7224C49458BB}">
                <c15:showLeaderLines val="0"/>
              </c:ext>
            </c:extLst>
          </c:dLbls>
          <c:cat>
            <c:numRef>
              <c:f>Feuil1!$A$2:$A$7</c:f>
              <c:numCache>
                <c:formatCode>General</c:formatCode>
                <c:ptCount val="6"/>
                <c:pt idx="0">
                  <c:v>2017</c:v>
                </c:pt>
                <c:pt idx="1">
                  <c:v>2018</c:v>
                </c:pt>
                <c:pt idx="2">
                  <c:v>2019</c:v>
                </c:pt>
                <c:pt idx="3">
                  <c:v>2020</c:v>
                </c:pt>
                <c:pt idx="4">
                  <c:v>2021</c:v>
                </c:pt>
                <c:pt idx="5">
                  <c:v>2022</c:v>
                </c:pt>
              </c:numCache>
            </c:numRef>
          </c:cat>
          <c:val>
            <c:numRef>
              <c:f>Feuil1!$C$2:$C$7</c:f>
              <c:numCache>
                <c:formatCode>General</c:formatCode>
                <c:ptCount val="6"/>
                <c:pt idx="0">
                  <c:v>100</c:v>
                </c:pt>
                <c:pt idx="1">
                  <c:v>101.2</c:v>
                </c:pt>
                <c:pt idx="2">
                  <c:v>101.6</c:v>
                </c:pt>
                <c:pt idx="3">
                  <c:v>102.5</c:v>
                </c:pt>
                <c:pt idx="4">
                  <c:v>103.8</c:v>
                </c:pt>
                <c:pt idx="5" formatCode="0.0">
                  <c:v>110</c:v>
                </c:pt>
              </c:numCache>
            </c:numRef>
          </c:val>
          <c:extLst xmlns:c16r2="http://schemas.microsoft.com/office/drawing/2015/06/chart">
            <c:ext xmlns:c16="http://schemas.microsoft.com/office/drawing/2014/chart" uri="{C3380CC4-5D6E-409C-BE32-E72D297353CC}">
              <c16:uniqueId val="{00000009-D226-4368-BDDF-F9EEC4C6BB34}"/>
            </c:ext>
          </c:extLst>
        </c:ser>
        <c:dLbls>
          <c:showVal val="1"/>
        </c:dLbls>
        <c:marker val="1"/>
        <c:axId val="145184256"/>
        <c:axId val="145185792"/>
      </c:lineChart>
      <c:catAx>
        <c:axId val="145184256"/>
        <c:scaling>
          <c:orientation val="minMax"/>
        </c:scaling>
        <c:axPos val="b"/>
        <c:numFmt formatCode="General" sourceLinked="1"/>
        <c:majorTickMark val="none"/>
        <c:tickLblPos val="nextTo"/>
        <c:crossAx val="145185792"/>
        <c:crosses val="autoZero"/>
        <c:auto val="1"/>
        <c:lblAlgn val="ctr"/>
        <c:lblOffset val="100"/>
      </c:catAx>
      <c:valAx>
        <c:axId val="145185792"/>
        <c:scaling>
          <c:orientation val="minMax"/>
          <c:max val="112"/>
          <c:min val="100"/>
        </c:scaling>
        <c:axPos val="l"/>
        <c:numFmt formatCode="General" sourceLinked="1"/>
        <c:majorTickMark val="none"/>
        <c:tickLblPos val="nextTo"/>
        <c:crossAx val="145184256"/>
        <c:crosses val="autoZero"/>
        <c:crossBetween val="between"/>
        <c:majorUnit val="2"/>
        <c:minorUnit val="1"/>
      </c:valAx>
      <c:dTable>
        <c:showHorzBorder val="1"/>
        <c:showVertBorder val="1"/>
        <c:showOutline val="1"/>
        <c:showKeys val="1"/>
        <c:txPr>
          <a:bodyPr/>
          <a:lstStyle/>
          <a:p>
            <a:pPr rtl="0">
              <a:defRPr sz="900" b="0"/>
            </a:pPr>
            <a:endParaRPr lang="fr-FR"/>
          </a:p>
        </c:txPr>
      </c:dTable>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050">
                <a:solidFill>
                  <a:schemeClr val="accent6">
                    <a:lumMod val="75000"/>
                  </a:schemeClr>
                </a:solidFill>
              </a:defRPr>
            </a:pPr>
            <a:r>
              <a:rPr lang="en-US" sz="1050">
                <a:solidFill>
                  <a:schemeClr val="accent6">
                    <a:lumMod val="75000"/>
                  </a:schemeClr>
                </a:solidFill>
              </a:rPr>
              <a:t>Figure 5: Indice général par villes </a:t>
            </a:r>
            <a:r>
              <a:rPr lang="fr-FR" sz="1050">
                <a:solidFill>
                  <a:schemeClr val="accent6">
                    <a:lumMod val="75000"/>
                  </a:schemeClr>
                </a:solidFill>
              </a:rPr>
              <a:t>entre 2021 et 2022</a:t>
            </a:r>
            <a:endParaRPr lang="en-US" sz="1050">
              <a:solidFill>
                <a:schemeClr val="accent6">
                  <a:lumMod val="75000"/>
                </a:schemeClr>
              </a:solidFill>
            </a:endParaRPr>
          </a:p>
        </c:rich>
      </c:tx>
      <c:layout>
        <c:manualLayout>
          <c:xMode val="edge"/>
          <c:yMode val="edge"/>
          <c:x val="0.24089466557967201"/>
          <c:y val="2.8733994002728552E-2"/>
        </c:manualLayout>
      </c:layout>
    </c:title>
    <c:plotArea>
      <c:layout>
        <c:manualLayout>
          <c:layoutTarget val="inner"/>
          <c:xMode val="edge"/>
          <c:yMode val="edge"/>
          <c:x val="6.8046767746418726E-2"/>
          <c:y val="0.12864028818034662"/>
          <c:w val="0.89771272643259004"/>
          <c:h val="0.63275518172036849"/>
        </c:manualLayout>
      </c:layout>
      <c:barChart>
        <c:barDir val="col"/>
        <c:grouping val="clustered"/>
        <c:ser>
          <c:idx val="0"/>
          <c:order val="0"/>
          <c:tx>
            <c:strRef>
              <c:f>Feuil1!$B$1</c:f>
              <c:strCache>
                <c:ptCount val="1"/>
                <c:pt idx="0">
                  <c:v>2021</c:v>
                </c:pt>
              </c:strCache>
            </c:strRef>
          </c:tx>
          <c:spPr>
            <a:solidFill>
              <a:schemeClr val="accent2">
                <a:lumMod val="40000"/>
                <a:lumOff val="60000"/>
              </a:schemeClr>
            </a:solidFill>
          </c:spPr>
          <c:dPt>
            <c:idx val="6"/>
            <c:spPr>
              <a:solidFill>
                <a:srgbClr val="0070C0"/>
              </a:solidFill>
            </c:spPr>
            <c:extLst xmlns:c16r2="http://schemas.microsoft.com/office/drawing/2015/06/chart">
              <c:ext xmlns:c16="http://schemas.microsoft.com/office/drawing/2014/chart" uri="{C3380CC4-5D6E-409C-BE32-E72D297353CC}">
                <c16:uniqueId val="{00000004-B4E5-4DB5-994C-38912D5B444D}"/>
              </c:ext>
            </c:extLst>
          </c:dPt>
          <c:dPt>
            <c:idx val="18"/>
            <c:spPr>
              <a:solidFill>
                <a:srgbClr val="0070C0"/>
              </a:solidFill>
            </c:spPr>
            <c:extLst xmlns:c16r2="http://schemas.microsoft.com/office/drawing/2015/06/chart">
              <c:ext xmlns:c16="http://schemas.microsoft.com/office/drawing/2014/chart" uri="{C3380CC4-5D6E-409C-BE32-E72D297353CC}">
                <c16:uniqueId val="{00000005-B4E5-4DB5-994C-38912D5B444D}"/>
              </c:ext>
            </c:extLst>
          </c:dPt>
          <c:dLbls>
            <c:delete val="1"/>
          </c:dLbls>
          <c:cat>
            <c:strRef>
              <c:f>Feuil1!$A$2:$A$20</c:f>
              <c:strCache>
                <c:ptCount val="19"/>
                <c:pt idx="0">
                  <c:v>Agadir</c:v>
                </c:pt>
                <c:pt idx="1">
                  <c:v>Casa</c:v>
                </c:pt>
                <c:pt idx="2">
                  <c:v>Fès</c:v>
                </c:pt>
                <c:pt idx="3">
                  <c:v>Kénitra</c:v>
                </c:pt>
                <c:pt idx="4">
                  <c:v>Marrakech</c:v>
                </c:pt>
                <c:pt idx="5">
                  <c:v>Oujda</c:v>
                </c:pt>
                <c:pt idx="6">
                  <c:v>Rabat</c:v>
                </c:pt>
                <c:pt idx="7">
                  <c:v>Tetouan</c:v>
                </c:pt>
                <c:pt idx="8">
                  <c:v>Meknès</c:v>
                </c:pt>
                <c:pt idx="9">
                  <c:v>Tanger</c:v>
                </c:pt>
                <c:pt idx="10">
                  <c:v>Laayoun</c:v>
                </c:pt>
                <c:pt idx="11">
                  <c:v>Dakhla</c:v>
                </c:pt>
                <c:pt idx="12">
                  <c:v>Guelmim</c:v>
                </c:pt>
                <c:pt idx="13">
                  <c:v>Settat</c:v>
                </c:pt>
                <c:pt idx="14">
                  <c:v>Safi</c:v>
                </c:pt>
                <c:pt idx="15">
                  <c:v>Beni mellal</c:v>
                </c:pt>
                <c:pt idx="16">
                  <c:v>El Houceima</c:v>
                </c:pt>
                <c:pt idx="17">
                  <c:v>Errachidia</c:v>
                </c:pt>
                <c:pt idx="18">
                  <c:v>National</c:v>
                </c:pt>
              </c:strCache>
            </c:strRef>
          </c:cat>
          <c:val>
            <c:numRef>
              <c:f>Feuil1!$B$2:$B$20</c:f>
              <c:numCache>
                <c:formatCode>0.0</c:formatCode>
                <c:ptCount val="19"/>
                <c:pt idx="0">
                  <c:v>103.8</c:v>
                </c:pt>
                <c:pt idx="1">
                  <c:v>104.4</c:v>
                </c:pt>
                <c:pt idx="2">
                  <c:v>104</c:v>
                </c:pt>
                <c:pt idx="3">
                  <c:v>102.9</c:v>
                </c:pt>
                <c:pt idx="4">
                  <c:v>103.9</c:v>
                </c:pt>
                <c:pt idx="5">
                  <c:v>102.8</c:v>
                </c:pt>
                <c:pt idx="6">
                  <c:v>103.8</c:v>
                </c:pt>
                <c:pt idx="7">
                  <c:v>102.5</c:v>
                </c:pt>
                <c:pt idx="8">
                  <c:v>103.6</c:v>
                </c:pt>
                <c:pt idx="9">
                  <c:v>103.7</c:v>
                </c:pt>
                <c:pt idx="10">
                  <c:v>104.2</c:v>
                </c:pt>
                <c:pt idx="11">
                  <c:v>104</c:v>
                </c:pt>
                <c:pt idx="12">
                  <c:v>105.9</c:v>
                </c:pt>
                <c:pt idx="13">
                  <c:v>103.5</c:v>
                </c:pt>
                <c:pt idx="14">
                  <c:v>106.5</c:v>
                </c:pt>
                <c:pt idx="15">
                  <c:v>104.5</c:v>
                </c:pt>
                <c:pt idx="16">
                  <c:v>103.5</c:v>
                </c:pt>
                <c:pt idx="17">
                  <c:v>103</c:v>
                </c:pt>
                <c:pt idx="18">
                  <c:v>103.9</c:v>
                </c:pt>
              </c:numCache>
            </c:numRef>
          </c:val>
          <c:extLst xmlns:c16r2="http://schemas.microsoft.com/office/drawing/2015/06/chart">
            <c:ext xmlns:c16="http://schemas.microsoft.com/office/drawing/2014/chart" uri="{C3380CC4-5D6E-409C-BE32-E72D297353CC}">
              <c16:uniqueId val="{00000000-14CA-49DC-A27A-6615BCF34E58}"/>
            </c:ext>
          </c:extLst>
        </c:ser>
        <c:ser>
          <c:idx val="1"/>
          <c:order val="1"/>
          <c:tx>
            <c:strRef>
              <c:f>Feuil1!$C$1</c:f>
              <c:strCache>
                <c:ptCount val="1"/>
                <c:pt idx="0">
                  <c:v>2022</c:v>
                </c:pt>
              </c:strCache>
            </c:strRef>
          </c:tx>
          <c:spPr>
            <a:solidFill>
              <a:schemeClr val="accent2">
                <a:lumMod val="75000"/>
              </a:schemeClr>
            </a:solidFill>
          </c:spPr>
          <c:dPt>
            <c:idx val="6"/>
            <c:spPr>
              <a:solidFill>
                <a:srgbClr val="00B0F0"/>
              </a:solidFill>
            </c:spPr>
            <c:extLst xmlns:c16r2="http://schemas.microsoft.com/office/drawing/2015/06/chart">
              <c:ext xmlns:c16="http://schemas.microsoft.com/office/drawing/2014/chart" uri="{C3380CC4-5D6E-409C-BE32-E72D297353CC}">
                <c16:uniqueId val="{00000001-14CA-49DC-A27A-6615BCF34E58}"/>
              </c:ext>
            </c:extLst>
          </c:dPt>
          <c:dPt>
            <c:idx val="18"/>
            <c:spPr>
              <a:solidFill>
                <a:srgbClr val="00B0F0"/>
              </a:solidFill>
            </c:spPr>
            <c:extLst xmlns:c16r2="http://schemas.microsoft.com/office/drawing/2015/06/chart">
              <c:ext xmlns:c16="http://schemas.microsoft.com/office/drawing/2014/chart" uri="{C3380CC4-5D6E-409C-BE32-E72D297353CC}">
                <c16:uniqueId val="{00000002-14CA-49DC-A27A-6615BCF34E58}"/>
              </c:ext>
            </c:extLst>
          </c:dPt>
          <c:dLbls>
            <c:delete val="1"/>
          </c:dLbls>
          <c:cat>
            <c:strRef>
              <c:f>Feuil1!$A$2:$A$20</c:f>
              <c:strCache>
                <c:ptCount val="19"/>
                <c:pt idx="0">
                  <c:v>Agadir</c:v>
                </c:pt>
                <c:pt idx="1">
                  <c:v>Casa</c:v>
                </c:pt>
                <c:pt idx="2">
                  <c:v>Fès</c:v>
                </c:pt>
                <c:pt idx="3">
                  <c:v>Kénitra</c:v>
                </c:pt>
                <c:pt idx="4">
                  <c:v>Marrakech</c:v>
                </c:pt>
                <c:pt idx="5">
                  <c:v>Oujda</c:v>
                </c:pt>
                <c:pt idx="6">
                  <c:v>Rabat</c:v>
                </c:pt>
                <c:pt idx="7">
                  <c:v>Tetouan</c:v>
                </c:pt>
                <c:pt idx="8">
                  <c:v>Meknès</c:v>
                </c:pt>
                <c:pt idx="9">
                  <c:v>Tanger</c:v>
                </c:pt>
                <c:pt idx="10">
                  <c:v>Laayoun</c:v>
                </c:pt>
                <c:pt idx="11">
                  <c:v>Dakhla</c:v>
                </c:pt>
                <c:pt idx="12">
                  <c:v>Guelmim</c:v>
                </c:pt>
                <c:pt idx="13">
                  <c:v>Settat</c:v>
                </c:pt>
                <c:pt idx="14">
                  <c:v>Safi</c:v>
                </c:pt>
                <c:pt idx="15">
                  <c:v>Beni mellal</c:v>
                </c:pt>
                <c:pt idx="16">
                  <c:v>El Houceima</c:v>
                </c:pt>
                <c:pt idx="17">
                  <c:v>Errachidia</c:v>
                </c:pt>
                <c:pt idx="18">
                  <c:v>National</c:v>
                </c:pt>
              </c:strCache>
            </c:strRef>
          </c:cat>
          <c:val>
            <c:numRef>
              <c:f>Feuil1!$C$2:$C$20</c:f>
              <c:numCache>
                <c:formatCode>0.0</c:formatCode>
                <c:ptCount val="19"/>
                <c:pt idx="0">
                  <c:v>109.3</c:v>
                </c:pt>
                <c:pt idx="1">
                  <c:v>111.2</c:v>
                </c:pt>
                <c:pt idx="2">
                  <c:v>111.2</c:v>
                </c:pt>
                <c:pt idx="3">
                  <c:v>111.1</c:v>
                </c:pt>
                <c:pt idx="4">
                  <c:v>111.5</c:v>
                </c:pt>
                <c:pt idx="5">
                  <c:v>109.9</c:v>
                </c:pt>
                <c:pt idx="6">
                  <c:v>110</c:v>
                </c:pt>
                <c:pt idx="7">
                  <c:v>109.5</c:v>
                </c:pt>
                <c:pt idx="8">
                  <c:v>110.6</c:v>
                </c:pt>
                <c:pt idx="9">
                  <c:v>110.6</c:v>
                </c:pt>
                <c:pt idx="10">
                  <c:v>109.8</c:v>
                </c:pt>
                <c:pt idx="11">
                  <c:v>109.5</c:v>
                </c:pt>
                <c:pt idx="12">
                  <c:v>112</c:v>
                </c:pt>
                <c:pt idx="13">
                  <c:v>110.3</c:v>
                </c:pt>
                <c:pt idx="14">
                  <c:v>114</c:v>
                </c:pt>
                <c:pt idx="15">
                  <c:v>112.9</c:v>
                </c:pt>
                <c:pt idx="16">
                  <c:v>112.2</c:v>
                </c:pt>
                <c:pt idx="17">
                  <c:v>110.8</c:v>
                </c:pt>
                <c:pt idx="18">
                  <c:v>110.8</c:v>
                </c:pt>
              </c:numCache>
            </c:numRef>
          </c:val>
          <c:extLst xmlns:c16r2="http://schemas.microsoft.com/office/drawing/2015/06/chart">
            <c:ext xmlns:c16="http://schemas.microsoft.com/office/drawing/2014/chart" uri="{C3380CC4-5D6E-409C-BE32-E72D297353CC}">
              <c16:uniqueId val="{00000003-14CA-49DC-A27A-6615BCF34E58}"/>
            </c:ext>
          </c:extLst>
        </c:ser>
        <c:dLbls>
          <c:showVal val="1"/>
        </c:dLbls>
        <c:axId val="144660736"/>
        <c:axId val="144666624"/>
      </c:barChart>
      <c:catAx>
        <c:axId val="144660736"/>
        <c:scaling>
          <c:orientation val="minMax"/>
        </c:scaling>
        <c:axPos val="b"/>
        <c:numFmt formatCode="General" sourceLinked="0"/>
        <c:tickLblPos val="nextTo"/>
        <c:txPr>
          <a:bodyPr/>
          <a:lstStyle/>
          <a:p>
            <a:pPr>
              <a:defRPr sz="900"/>
            </a:pPr>
            <a:endParaRPr lang="fr-FR"/>
          </a:p>
        </c:txPr>
        <c:crossAx val="144666624"/>
        <c:crosses val="autoZero"/>
        <c:auto val="1"/>
        <c:lblAlgn val="ctr"/>
        <c:lblOffset val="100"/>
      </c:catAx>
      <c:valAx>
        <c:axId val="144666624"/>
        <c:scaling>
          <c:orientation val="minMax"/>
          <c:max val="115"/>
          <c:min val="100"/>
        </c:scaling>
        <c:axPos val="l"/>
        <c:numFmt formatCode="0" sourceLinked="0"/>
        <c:tickLblPos val="nextTo"/>
        <c:txPr>
          <a:bodyPr/>
          <a:lstStyle/>
          <a:p>
            <a:pPr>
              <a:defRPr sz="1000"/>
            </a:pPr>
            <a:endParaRPr lang="fr-FR"/>
          </a:p>
        </c:txPr>
        <c:crossAx val="144660736"/>
        <c:crosses val="autoZero"/>
        <c:crossBetween val="between"/>
        <c:majorUnit val="2"/>
        <c:minorUnit val="1"/>
      </c:valA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6214902725255088"/>
          <c:y val="0.91436334076201409"/>
          <c:w val="0.25827705599771777"/>
          <c:h val="5.9872815250844473E-2"/>
        </c:manualLayout>
      </c:layout>
      <c:txPr>
        <a:bodyPr/>
        <a:lstStyle/>
        <a:p>
          <a:pPr>
            <a:defRPr sz="1050"/>
          </a:pPr>
          <a:endParaRPr lang="fr-FR"/>
        </a:p>
      </c:txPr>
    </c:legend>
    <c:plotVisOnly val="1"/>
    <c:dispBlanksAs val="gap"/>
  </c:chart>
  <c:spPr>
    <a:solidFill>
      <a:schemeClr val="lt1"/>
    </a:solidFill>
    <a:ln w="25400" cap="flat" cmpd="sng" algn="ctr">
      <a:solidFill>
        <a:schemeClr val="dk1"/>
      </a:solidFill>
      <a:prstDash val="solid"/>
    </a:ln>
    <a:effectLst/>
  </c:spPr>
  <c:txPr>
    <a:bodyPr/>
    <a:lstStyle/>
    <a:p>
      <a:pPr>
        <a:defRPr sz="900" b="1">
          <a:solidFill>
            <a:schemeClr val="dk1"/>
          </a:solidFill>
          <a:latin typeface="+mn-lt"/>
          <a:ea typeface="+mn-ea"/>
          <a:cs typeface="+mn-cs"/>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1"/>
  <c:chart>
    <c:title>
      <c:tx>
        <c:rich>
          <a:bodyPr/>
          <a:lstStyle/>
          <a:p>
            <a:pPr>
              <a:defRPr sz="1050">
                <a:solidFill>
                  <a:schemeClr val="accent6">
                    <a:lumMod val="75000"/>
                  </a:schemeClr>
                </a:solidFill>
              </a:defRPr>
            </a:pPr>
            <a:r>
              <a:rPr lang="en-US" sz="1050">
                <a:solidFill>
                  <a:schemeClr val="accent6">
                    <a:lumMod val="75000"/>
                  </a:schemeClr>
                </a:solidFill>
              </a:rPr>
              <a:t>Figure 6: Inflation générale par villes (en %) </a:t>
            </a:r>
            <a:r>
              <a:rPr lang="fr-FR" sz="1050">
                <a:solidFill>
                  <a:schemeClr val="accent6">
                    <a:lumMod val="75000"/>
                  </a:schemeClr>
                </a:solidFill>
              </a:rPr>
              <a:t>en 2022</a:t>
            </a:r>
            <a:endParaRPr lang="en-US" sz="1050">
              <a:solidFill>
                <a:schemeClr val="accent6">
                  <a:lumMod val="75000"/>
                </a:schemeClr>
              </a:solidFill>
            </a:endParaRPr>
          </a:p>
        </c:rich>
      </c:tx>
      <c:layout>
        <c:manualLayout>
          <c:xMode val="edge"/>
          <c:yMode val="edge"/>
          <c:x val="0.24754503706424674"/>
          <c:y val="4.0095852491388875E-2"/>
        </c:manualLayout>
      </c:layout>
    </c:title>
    <c:plotArea>
      <c:layout>
        <c:manualLayout>
          <c:layoutTarget val="inner"/>
          <c:xMode val="edge"/>
          <c:yMode val="edge"/>
          <c:x val="0.11146359612353413"/>
          <c:y val="0.10497599878167989"/>
          <c:w val="0.86211634508997637"/>
          <c:h val="0.84099554163189671"/>
        </c:manualLayout>
      </c:layout>
      <c:barChart>
        <c:barDir val="col"/>
        <c:grouping val="clustered"/>
        <c:ser>
          <c:idx val="0"/>
          <c:order val="0"/>
          <c:tx>
            <c:strRef>
              <c:f>Feuil1!$B$1</c:f>
              <c:strCache>
                <c:ptCount val="1"/>
                <c:pt idx="0">
                  <c:v>2022</c:v>
                </c:pt>
              </c:strCache>
            </c:strRef>
          </c:tx>
          <c:spPr>
            <a:solidFill>
              <a:schemeClr val="accent2">
                <a:lumMod val="75000"/>
              </a:schemeClr>
            </a:solidFill>
          </c:spPr>
          <c:dPt>
            <c:idx val="4"/>
            <c:spPr>
              <a:solidFill>
                <a:srgbClr val="00B0F0"/>
              </a:solidFill>
            </c:spPr>
            <c:extLst xmlns:c16r2="http://schemas.microsoft.com/office/drawing/2015/06/chart">
              <c:ext xmlns:c16="http://schemas.microsoft.com/office/drawing/2014/chart" uri="{C3380CC4-5D6E-409C-BE32-E72D297353CC}">
                <c16:uniqueId val="{00000006-4D19-4CC5-9E81-D87DB6DC1C1A}"/>
              </c:ext>
            </c:extLst>
          </c:dPt>
          <c:dLbls>
            <c:dLbl>
              <c:idx val="5"/>
              <c:layout>
                <c:manualLayout>
                  <c:x val="-1.104850292785332E-2"/>
                  <c:y val="-3.157655914680283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19-4CC5-9E81-D87DB6DC1C1A}"/>
                </c:ext>
              </c:extLst>
            </c:dLbl>
            <c:spPr>
              <a:noFill/>
              <a:ln>
                <a:noFill/>
              </a:ln>
              <a:effectLst/>
            </c:spPr>
            <c:txPr>
              <a:bodyPr wrap="square" lIns="38100" tIns="19050" rIns="38100" bIns="19050" anchor="ctr">
                <a:spAutoFit/>
              </a:bodyPr>
              <a:lstStyle/>
              <a:p>
                <a:pPr>
                  <a:defRPr sz="900" b="1">
                    <a:solidFill>
                      <a:schemeClr val="accent2">
                        <a:lumMod val="75000"/>
                      </a:schemeClr>
                    </a:solidFill>
                  </a:defRPr>
                </a:pPr>
                <a:endParaRPr lang="fr-FR"/>
              </a:p>
            </c:txPr>
            <c:dLblPos val="outEnd"/>
            <c:showVal val="1"/>
            <c:extLst xmlns:c16r2="http://schemas.microsoft.com/office/drawing/2015/06/chart">
              <c:ext xmlns:c15="http://schemas.microsoft.com/office/drawing/2012/chart" uri="{CE6537A1-D6FC-4f65-9D91-7224C49458BB}">
                <c15:showLeaderLines val="0"/>
              </c:ext>
            </c:extLst>
          </c:dLbls>
          <c:cat>
            <c:strRef>
              <c:f>Feuil1!$A$2:$A$19</c:f>
              <c:strCache>
                <c:ptCount val="18"/>
                <c:pt idx="0">
                  <c:v>Agadir</c:v>
                </c:pt>
                <c:pt idx="1">
                  <c:v>Dakhla</c:v>
                </c:pt>
                <c:pt idx="2">
                  <c:v>Laâyoune</c:v>
                </c:pt>
                <c:pt idx="3">
                  <c:v>Guelmim</c:v>
                </c:pt>
                <c:pt idx="4">
                  <c:v>Rabat</c:v>
                </c:pt>
                <c:pt idx="5">
                  <c:v>Casa</c:v>
                </c:pt>
                <c:pt idx="6">
                  <c:v>Settat</c:v>
                </c:pt>
                <c:pt idx="7">
                  <c:v>Tanger</c:v>
                </c:pt>
                <c:pt idx="8">
                  <c:v>Tetouan</c:v>
                </c:pt>
                <c:pt idx="9">
                  <c:v>Meknès</c:v>
                </c:pt>
                <c:pt idx="10">
                  <c:v>Fès</c:v>
                </c:pt>
                <c:pt idx="11">
                  <c:v>Oujda</c:v>
                </c:pt>
                <c:pt idx="12">
                  <c:v>Safi</c:v>
                </c:pt>
                <c:pt idx="13">
                  <c:v>Marrakech</c:v>
                </c:pt>
                <c:pt idx="14">
                  <c:v>Errachidia</c:v>
                </c:pt>
                <c:pt idx="15">
                  <c:v>Kénitra</c:v>
                </c:pt>
                <c:pt idx="16">
                  <c:v>Beni Mellal</c:v>
                </c:pt>
                <c:pt idx="17">
                  <c:v>El Houceima</c:v>
                </c:pt>
              </c:strCache>
            </c:strRef>
          </c:cat>
          <c:val>
            <c:numRef>
              <c:f>Feuil1!$B$2:$B$19</c:f>
              <c:numCache>
                <c:formatCode>0.0</c:formatCode>
                <c:ptCount val="18"/>
                <c:pt idx="0">
                  <c:v>-1.2999999999999994</c:v>
                </c:pt>
                <c:pt idx="1">
                  <c:v>-1.2999999999999994</c:v>
                </c:pt>
                <c:pt idx="2">
                  <c:v>-1.1999999999999988</c:v>
                </c:pt>
                <c:pt idx="3">
                  <c:v>-0.79999999999999982</c:v>
                </c:pt>
                <c:pt idx="4">
                  <c:v>-0.59999999999999953</c:v>
                </c:pt>
                <c:pt idx="5">
                  <c:v>-9.9999999999999714E-2</c:v>
                </c:pt>
                <c:pt idx="6">
                  <c:v>0</c:v>
                </c:pt>
                <c:pt idx="7">
                  <c:v>0.10000000000000053</c:v>
                </c:pt>
                <c:pt idx="8">
                  <c:v>0.20000000000000021</c:v>
                </c:pt>
                <c:pt idx="9">
                  <c:v>0.20000000000000021</c:v>
                </c:pt>
                <c:pt idx="10">
                  <c:v>0.30000000000000082</c:v>
                </c:pt>
                <c:pt idx="11">
                  <c:v>0.30000000000000082</c:v>
                </c:pt>
                <c:pt idx="12">
                  <c:v>0.40000000000000036</c:v>
                </c:pt>
                <c:pt idx="13">
                  <c:v>0.7000000000000004</c:v>
                </c:pt>
                <c:pt idx="14">
                  <c:v>1</c:v>
                </c:pt>
                <c:pt idx="15">
                  <c:v>1.4000000000000004</c:v>
                </c:pt>
                <c:pt idx="16">
                  <c:v>1.4000000000000004</c:v>
                </c:pt>
                <c:pt idx="17">
                  <c:v>1.8000000000000007</c:v>
                </c:pt>
              </c:numCache>
            </c:numRef>
          </c:val>
          <c:extLst xmlns:c16r2="http://schemas.microsoft.com/office/drawing/2015/06/chart">
            <c:ext xmlns:c16="http://schemas.microsoft.com/office/drawing/2014/chart" uri="{C3380CC4-5D6E-409C-BE32-E72D297353CC}">
              <c16:uniqueId val="{0000000E-4D19-4CC5-9E81-D87DB6DC1C1A}"/>
            </c:ext>
          </c:extLst>
        </c:ser>
        <c:dLbls>
          <c:showVal val="1"/>
        </c:dLbls>
        <c:axId val="145146240"/>
        <c:axId val="145147776"/>
      </c:barChart>
      <c:catAx>
        <c:axId val="145146240"/>
        <c:scaling>
          <c:orientation val="minMax"/>
        </c:scaling>
        <c:axPos val="b"/>
        <c:numFmt formatCode="General" sourceLinked="1"/>
        <c:tickLblPos val="nextTo"/>
        <c:txPr>
          <a:bodyPr/>
          <a:lstStyle/>
          <a:p>
            <a:pPr>
              <a:defRPr sz="800" b="1"/>
            </a:pPr>
            <a:endParaRPr lang="fr-FR"/>
          </a:p>
        </c:txPr>
        <c:crossAx val="145147776"/>
        <c:crosses val="autoZero"/>
        <c:auto val="1"/>
        <c:lblAlgn val="ctr"/>
        <c:lblOffset val="100"/>
      </c:catAx>
      <c:valAx>
        <c:axId val="145147776"/>
        <c:scaling>
          <c:orientation val="minMax"/>
        </c:scaling>
        <c:axPos val="l"/>
        <c:numFmt formatCode="0.0" sourceLinked="1"/>
        <c:tickLblPos val="nextTo"/>
        <c:txPr>
          <a:bodyPr/>
          <a:lstStyle/>
          <a:p>
            <a:pPr>
              <a:defRPr sz="1050"/>
            </a:pPr>
            <a:endParaRPr lang="fr-FR"/>
          </a:p>
        </c:txPr>
        <c:crossAx val="145146240"/>
        <c:crosses val="autoZero"/>
        <c:crossBetween val="between"/>
        <c:majorUnit val="1"/>
      </c:valA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050" b="1" i="0" u="none" strike="noStrike" kern="1200" cap="all" baseline="0">
                <a:solidFill>
                  <a:schemeClr val="accent6"/>
                </a:solidFill>
                <a:latin typeface="+mn-lt"/>
                <a:ea typeface="+mn-ea"/>
                <a:cs typeface="+mn-cs"/>
              </a:defRPr>
            </a:pPr>
            <a:r>
              <a:rPr lang="en-US" sz="1050" b="1" i="0" u="none" strike="noStrike" cap="none" baseline="0">
                <a:solidFill>
                  <a:schemeClr val="accent6">
                    <a:lumMod val="75000"/>
                  </a:schemeClr>
                </a:solidFill>
              </a:rPr>
              <a:t>Figure 7 : Coefficients de pondération de l'IPC par division de produits au niveau de la ville de Rabat</a:t>
            </a:r>
            <a:endParaRPr lang="en-US" sz="1050" cap="none">
              <a:solidFill>
                <a:schemeClr val="accent6">
                  <a:lumMod val="75000"/>
                </a:schemeClr>
              </a:solidFill>
            </a:endParaRPr>
          </a:p>
        </c:rich>
      </c:tx>
      <c:layout>
        <c:manualLayout>
          <c:xMode val="edge"/>
          <c:yMode val="edge"/>
          <c:x val="0.10743620589093029"/>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601920269908532E-2"/>
          <c:y val="0.24536751454455288"/>
          <c:w val="0.82796159460182961"/>
          <c:h val="0.6700176590829372"/>
        </c:manualLayout>
      </c:layout>
      <c:pie3DChart>
        <c:varyColors val="1"/>
        <c:ser>
          <c:idx val="0"/>
          <c:order val="0"/>
          <c:tx>
            <c:strRef>
              <c:f>Feuil1!$B$1</c:f>
              <c:strCache>
                <c:ptCount val="1"/>
                <c:pt idx="0">
                  <c:v>Ventes</c:v>
                </c:pt>
              </c:strCache>
            </c:strRef>
          </c:tx>
          <c:explosion val="15"/>
          <c:dPt>
            <c:idx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92B9-403A-AD67-D84E748F441D}"/>
              </c:ext>
            </c:extLst>
          </c:dPt>
          <c:dPt>
            <c:idx val="1"/>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92B9-403A-AD67-D84E748F441D}"/>
              </c:ext>
            </c:extLst>
          </c:dPt>
          <c:dPt>
            <c:idx val="2"/>
            <c:spPr>
              <a:solidFill>
                <a:schemeClr val="tx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92B9-403A-AD67-D84E748F441D}"/>
              </c:ext>
            </c:extLst>
          </c:dPt>
          <c:dPt>
            <c:idx val="3"/>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92B9-403A-AD67-D84E748F441D}"/>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92B9-403A-AD67-D84E748F441D}"/>
              </c:ext>
            </c:extLst>
          </c:dPt>
          <c:dPt>
            <c:idx val="5"/>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92B9-403A-AD67-D84E748F441D}"/>
              </c:ext>
            </c:extLst>
          </c:dPt>
          <c:dPt>
            <c:idx val="6"/>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92B9-403A-AD67-D84E748F441D}"/>
              </c:ext>
            </c:extLst>
          </c:dPt>
          <c:dPt>
            <c:idx val="7"/>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92B9-403A-AD67-D84E748F441D}"/>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92B9-403A-AD67-D84E748F441D}"/>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92B9-403A-AD67-D84E748F441D}"/>
              </c:ext>
            </c:extLst>
          </c:dPt>
          <c:dPt>
            <c:idx val="1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92B9-403A-AD67-D84E748F441D}"/>
              </c:ext>
            </c:extLst>
          </c:dPt>
          <c:dPt>
            <c:idx val="1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92B9-403A-AD67-D84E748F441D}"/>
              </c:ext>
            </c:extLst>
          </c:dPt>
          <c:dLbls>
            <c:dLbl>
              <c:idx val="0"/>
              <c:layout>
                <c:manualLayout>
                  <c:x val="1.5538368354843219E-2"/>
                  <c:y val="-7.9365079365079388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rgbClr val="0070C0"/>
                        </a:solidFill>
                        <a:latin typeface="+mn-lt"/>
                        <a:ea typeface="+mn-ea"/>
                        <a:cs typeface="+mn-cs"/>
                      </a:defRPr>
                    </a:pPr>
                    <a:fld id="{A5132ACD-F941-4E17-A7A9-745187BF6BD8}" type="CATEGORYNAME">
                      <a:rPr lang="en-US">
                        <a:solidFill>
                          <a:srgbClr val="0070C0"/>
                        </a:solidFill>
                      </a:rPr>
                      <a:pPr>
                        <a:defRPr sz="800" b="1" i="0" u="none" strike="noStrike" kern="1200" spc="0" baseline="0">
                          <a:solidFill>
                            <a:srgbClr val="0070C0"/>
                          </a:solidFill>
                          <a:latin typeface="+mn-lt"/>
                          <a:ea typeface="+mn-ea"/>
                          <a:cs typeface="+mn-cs"/>
                        </a:defRPr>
                      </a:pPr>
                      <a:t>[NOM DE CATÉGORIE]</a:t>
                    </a:fld>
                    <a:endParaRPr lang="en-US">
                      <a:solidFill>
                        <a:srgbClr val="0070C0"/>
                      </a:solidFill>
                    </a:endParaRPr>
                  </a:p>
                  <a:p>
                    <a:pPr>
                      <a:defRPr sz="800" b="1" i="0" u="none" strike="noStrike" kern="1200" spc="0" baseline="0">
                        <a:solidFill>
                          <a:srgbClr val="0070C0"/>
                        </a:solidFill>
                        <a:latin typeface="+mn-lt"/>
                        <a:ea typeface="+mn-ea"/>
                        <a:cs typeface="+mn-cs"/>
                      </a:defRPr>
                    </a:pPr>
                    <a:r>
                      <a:rPr lang="en-US">
                        <a:solidFill>
                          <a:srgbClr val="0070C0"/>
                        </a:solidFill>
                      </a:rPr>
                      <a:t>33.403</a:t>
                    </a:r>
                  </a:p>
                </c:rich>
              </c:tx>
              <c:spPr>
                <a:noFill/>
                <a:ln>
                  <a:noFill/>
                </a:ln>
                <a:effectLst/>
              </c:spPr>
              <c:dLblPos val="bestFit"/>
              <c:showCatName val="1"/>
              <c:extLst xmlns:c16r2="http://schemas.microsoft.com/office/drawing/2015/06/chart">
                <c:ext xmlns:c15="http://schemas.microsoft.com/office/drawing/2012/chart" uri="{CE6537A1-D6FC-4f65-9D91-7224C49458BB}">
                  <c15:layout>
                    <c:manualLayout>
                      <c:w val="0.2301259310041866"/>
                      <c:h val="0.12815491813523311"/>
                    </c:manualLayout>
                  </c15:layout>
                  <c15:dlblFieldTable/>
                  <c15:showDataLabelsRange val="0"/>
                </c:ext>
                <c:ext xmlns:c16="http://schemas.microsoft.com/office/drawing/2014/chart" uri="{C3380CC4-5D6E-409C-BE32-E72D297353CC}">
                  <c16:uniqueId val="{00000001-92B9-403A-AD67-D84E748F441D}"/>
                </c:ext>
              </c:extLst>
            </c:dLbl>
            <c:dLbl>
              <c:idx val="1"/>
              <c:layout>
                <c:manualLayout>
                  <c:x val="3.4618563955964771E-2"/>
                  <c:y val="-9.075770770589163E-2"/>
                </c:manualLayout>
              </c:layout>
              <c:tx>
                <c:rich>
                  <a:bodyPr/>
                  <a:lstStyle/>
                  <a:p>
                    <a:fld id="{AF7C7EBD-720D-4BE9-A09D-B155EFEADF9F}" type="CATEGORYNAME">
                      <a:rPr lang="en-US">
                        <a:solidFill>
                          <a:srgbClr val="C00000"/>
                        </a:solidFill>
                      </a:rPr>
                      <a:pPr/>
                      <a:t>[NOM DE CATÉGORIE]</a:t>
                    </a:fld>
                    <a:endParaRPr lang="en-US">
                      <a:solidFill>
                        <a:srgbClr val="C00000"/>
                      </a:solidFill>
                    </a:endParaRPr>
                  </a:p>
                  <a:p>
                    <a:r>
                      <a:rPr lang="en-US">
                        <a:solidFill>
                          <a:srgbClr val="C00000"/>
                        </a:solidFill>
                      </a:rPr>
                      <a:t>1.277</a:t>
                    </a:r>
                  </a:p>
                </c:rich>
              </c:tx>
              <c:dLblPos val="bestFit"/>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92B9-403A-AD67-D84E748F441D}"/>
                </c:ext>
              </c:extLst>
            </c:dLbl>
            <c:dLbl>
              <c:idx val="2"/>
              <c:layout>
                <c:manualLayout>
                  <c:x val="1.6203632829919774E-2"/>
                  <c:y val="1.5873015873015879E-2"/>
                </c:manualLayout>
              </c:layout>
              <c:tx>
                <c:rich>
                  <a:bodyPr/>
                  <a:lstStyle/>
                  <a:p>
                    <a:fld id="{59D5B3CE-BAF6-4406-81D8-36898B63ACC0}" type="CATEGORYNAME">
                      <a:rPr lang="en-US">
                        <a:solidFill>
                          <a:schemeClr val="tx1"/>
                        </a:solidFill>
                      </a:rPr>
                      <a:pPr/>
                      <a:t>[NOM DE CATÉGORIE]</a:t>
                    </a:fld>
                    <a:endParaRPr lang="en-US">
                      <a:solidFill>
                        <a:schemeClr val="tx1"/>
                      </a:solidFill>
                    </a:endParaRPr>
                  </a:p>
                  <a:p>
                    <a:r>
                      <a:rPr lang="en-US">
                        <a:solidFill>
                          <a:schemeClr val="tx1"/>
                        </a:solidFill>
                      </a:rPr>
                      <a:t>3.802</a:t>
                    </a:r>
                  </a:p>
                </c:rich>
              </c:tx>
              <c:dLblPos val="bestFit"/>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92B9-403A-AD67-D84E748F441D}"/>
                </c:ext>
              </c:extLst>
            </c:dLbl>
            <c:dLbl>
              <c:idx val="3"/>
              <c:layout>
                <c:manualLayout>
                  <c:x val="1.4792899408284023E-2"/>
                  <c:y val="3.9682539682538232E-3"/>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rgbClr val="FFC000"/>
                        </a:solidFill>
                        <a:latin typeface="+mn-lt"/>
                        <a:ea typeface="+mn-ea"/>
                        <a:cs typeface="+mn-cs"/>
                      </a:defRPr>
                    </a:pPr>
                    <a:fld id="{3F1555A0-CD47-4DA5-A7EC-8490E386BF1B}" type="CATEGORYNAME">
                      <a:rPr lang="en-US" b="1">
                        <a:solidFill>
                          <a:srgbClr val="FFC000"/>
                        </a:solidFill>
                      </a:rPr>
                      <a:pPr>
                        <a:defRPr sz="800" b="1" i="0" u="none" strike="noStrike" kern="1200" spc="0" baseline="0">
                          <a:solidFill>
                            <a:srgbClr val="FFC000"/>
                          </a:solidFill>
                          <a:latin typeface="+mn-lt"/>
                          <a:ea typeface="+mn-ea"/>
                          <a:cs typeface="+mn-cs"/>
                        </a:defRPr>
                      </a:pPr>
                      <a:t>[NOM DE CATÉGORIE]</a:t>
                    </a:fld>
                    <a:endParaRPr lang="en-US" b="1">
                      <a:solidFill>
                        <a:srgbClr val="FFC000"/>
                      </a:solidFill>
                    </a:endParaRPr>
                  </a:p>
                  <a:p>
                    <a:pPr>
                      <a:defRPr sz="800" b="1" i="0" u="none" strike="noStrike" kern="1200" spc="0" baseline="0">
                        <a:solidFill>
                          <a:srgbClr val="FFC000"/>
                        </a:solidFill>
                        <a:latin typeface="+mn-lt"/>
                        <a:ea typeface="+mn-ea"/>
                        <a:cs typeface="+mn-cs"/>
                      </a:defRPr>
                    </a:pPr>
                    <a:r>
                      <a:rPr lang="en-US" b="1">
                        <a:solidFill>
                          <a:srgbClr val="FFC000"/>
                        </a:solidFill>
                      </a:rPr>
                      <a:t>13.531</a:t>
                    </a:r>
                  </a:p>
                </c:rich>
              </c:tx>
              <c:spPr>
                <a:noFill/>
                <a:ln>
                  <a:noFill/>
                </a:ln>
                <a:effectLst/>
              </c:spPr>
              <c:dLblPos val="bestFit"/>
              <c:showCatName val="1"/>
              <c:extLst xmlns:c16r2="http://schemas.microsoft.com/office/drawing/2015/06/chart">
                <c:ext xmlns:c15="http://schemas.microsoft.com/office/drawing/2012/chart" uri="{CE6537A1-D6FC-4f65-9D91-7224C49458BB}">
                  <c15:layout>
                    <c:manualLayout>
                      <c:w val="0.21658555701370663"/>
                      <c:h val="0.12815491813523311"/>
                    </c:manualLayout>
                  </c15:layout>
                  <c15:dlblFieldTable/>
                  <c15:showDataLabelsRange val="0"/>
                </c:ext>
                <c:ext xmlns:c16="http://schemas.microsoft.com/office/drawing/2014/chart" uri="{C3380CC4-5D6E-409C-BE32-E72D297353CC}">
                  <c16:uniqueId val="{00000007-92B9-403A-AD67-D84E748F441D}"/>
                </c:ext>
              </c:extLst>
            </c:dLbl>
            <c:dLbl>
              <c:idx val="4"/>
              <c:layout>
                <c:manualLayout>
                  <c:x val="-4.8977909993450947E-2"/>
                  <c:y val="-2.0076447982649036E-2"/>
                </c:manualLayout>
              </c:layout>
              <c:tx>
                <c:rich>
                  <a:bodyPr/>
                  <a:lstStyle/>
                  <a:p>
                    <a:fld id="{A18D4992-82A9-49A3-ADC9-351D3D3FDAC9}" type="CATEGORYNAME">
                      <a:rPr lang="en-US"/>
                      <a:pPr/>
                      <a:t>[NOM DE CATÉGORIE]</a:t>
                    </a:fld>
                    <a:endParaRPr lang="en-US"/>
                  </a:p>
                  <a:p>
                    <a:r>
                      <a:rPr lang="en-US"/>
                      <a:t>4.508</a:t>
                    </a:r>
                  </a:p>
                </c:rich>
              </c:tx>
              <c:dLblPos val="bestFit"/>
              <c:showCatName val="1"/>
              <c:extLst xmlns:c16r2="http://schemas.microsoft.com/office/drawing/2015/06/chart">
                <c:ext xmlns:c15="http://schemas.microsoft.com/office/drawing/2012/chart" uri="{CE6537A1-D6FC-4f65-9D91-7224C49458BB}">
                  <c15:layout>
                    <c:manualLayout>
                      <c:w val="0.25285888743073781"/>
                      <c:h val="0.12815491813523311"/>
                    </c:manualLayout>
                  </c15:layout>
                  <c15:dlblFieldTable/>
                  <c15:showDataLabelsRange val="0"/>
                </c:ext>
                <c:ext xmlns:c16="http://schemas.microsoft.com/office/drawing/2014/chart" uri="{C3380CC4-5D6E-409C-BE32-E72D297353CC}">
                  <c16:uniqueId val="{00000009-92B9-403A-AD67-D84E748F441D}"/>
                </c:ext>
              </c:extLst>
            </c:dLbl>
            <c:dLbl>
              <c:idx val="5"/>
              <c:layout>
                <c:manualLayout>
                  <c:x val="-5.6056519192497406E-2"/>
                  <c:y val="-6.3492063492063502E-2"/>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rgbClr val="FF0000"/>
                        </a:solidFill>
                        <a:latin typeface="+mn-lt"/>
                        <a:ea typeface="+mn-ea"/>
                        <a:cs typeface="+mn-cs"/>
                      </a:defRPr>
                    </a:pPr>
                    <a:fld id="{C05BEE12-A6CB-4B0A-A93C-E4554417AA91}" type="CATEGORYNAME">
                      <a:rPr lang="en-US"/>
                      <a:pPr>
                        <a:defRPr sz="800" b="1" i="0" u="none" strike="noStrike" kern="1200" spc="0" baseline="0">
                          <a:solidFill>
                            <a:srgbClr val="FF0000"/>
                          </a:solidFill>
                          <a:latin typeface="+mn-lt"/>
                          <a:ea typeface="+mn-ea"/>
                          <a:cs typeface="+mn-cs"/>
                        </a:defRPr>
                      </a:pPr>
                      <a:t>[NOM DE CATÉGORIE]</a:t>
                    </a:fld>
                    <a:endParaRPr lang="en-US"/>
                  </a:p>
                  <a:p>
                    <a:pPr>
                      <a:defRPr sz="800" b="1" i="0" u="none" strike="noStrike" kern="1200" spc="0" baseline="0">
                        <a:solidFill>
                          <a:srgbClr val="FF0000"/>
                        </a:solidFill>
                        <a:latin typeface="+mn-lt"/>
                        <a:ea typeface="+mn-ea"/>
                        <a:cs typeface="+mn-cs"/>
                      </a:defRPr>
                    </a:pPr>
                    <a:r>
                      <a:rPr lang="en-US"/>
                      <a:t>9.268</a:t>
                    </a:r>
                  </a:p>
                </c:rich>
              </c:tx>
              <c:spPr>
                <a:noFill/>
                <a:ln>
                  <a:noFill/>
                </a:ln>
                <a:effectLst/>
              </c:spPr>
              <c:dLblPos val="bestFit"/>
              <c:showCatName val="1"/>
              <c:extLst xmlns:c16r2="http://schemas.microsoft.com/office/drawing/2015/06/chart">
                <c:ext xmlns:c15="http://schemas.microsoft.com/office/drawing/2012/chart" uri="{CE6537A1-D6FC-4f65-9D91-7224C49458BB}">
                  <c15:layout>
                    <c:manualLayout>
                      <c:w val="8.6274219420797243E-2"/>
                      <c:h val="9.8273965754280712E-2"/>
                    </c:manualLayout>
                  </c15:layout>
                  <c15:dlblFieldTable/>
                  <c15:showDataLabelsRange val="0"/>
                </c:ext>
                <c:ext xmlns:c16="http://schemas.microsoft.com/office/drawing/2014/chart" uri="{C3380CC4-5D6E-409C-BE32-E72D297353CC}">
                  <c16:uniqueId val="{0000000B-92B9-403A-AD67-D84E748F441D}"/>
                </c:ext>
              </c:extLst>
            </c:dLbl>
            <c:dLbl>
              <c:idx val="6"/>
              <c:layout>
                <c:manualLayout>
                  <c:x val="-6.5032602162702721E-2"/>
                  <c:y val="-6.8228467409315791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rgbClr val="00B050"/>
                        </a:solidFill>
                        <a:latin typeface="+mn-lt"/>
                        <a:ea typeface="+mn-ea"/>
                        <a:cs typeface="+mn-cs"/>
                      </a:defRPr>
                    </a:pPr>
                    <a:fld id="{FE3D5104-123E-45E7-8D47-C103593A7558}" type="CATEGORYNAME">
                      <a:rPr lang="en-US">
                        <a:solidFill>
                          <a:srgbClr val="00B050"/>
                        </a:solidFill>
                      </a:rPr>
                      <a:pPr>
                        <a:defRPr sz="800" b="1" i="0" u="none" strike="noStrike" kern="1200" spc="0" baseline="0">
                          <a:solidFill>
                            <a:srgbClr val="00B050"/>
                          </a:solidFill>
                          <a:latin typeface="+mn-lt"/>
                          <a:ea typeface="+mn-ea"/>
                          <a:cs typeface="+mn-cs"/>
                        </a:defRPr>
                      </a:pPr>
                      <a:t>[NOM DE CATÉGORIE]</a:t>
                    </a:fld>
                    <a:endParaRPr lang="en-US">
                      <a:solidFill>
                        <a:srgbClr val="00B050"/>
                      </a:solidFill>
                    </a:endParaRPr>
                  </a:p>
                  <a:p>
                    <a:pPr>
                      <a:defRPr sz="800" b="1" i="0" u="none" strike="noStrike" kern="1200" spc="0" baseline="0">
                        <a:solidFill>
                          <a:srgbClr val="00B050"/>
                        </a:solidFill>
                        <a:latin typeface="+mn-lt"/>
                        <a:ea typeface="+mn-ea"/>
                        <a:cs typeface="+mn-cs"/>
                      </a:defRPr>
                    </a:pPr>
                    <a:r>
                      <a:rPr lang="en-US">
                        <a:solidFill>
                          <a:srgbClr val="00B050"/>
                        </a:solidFill>
                      </a:rPr>
                      <a:t>12.731</a:t>
                    </a:r>
                  </a:p>
                </c:rich>
              </c:tx>
              <c:spPr>
                <a:noFill/>
                <a:ln>
                  <a:noFill/>
                </a:ln>
                <a:effectLst/>
              </c:spPr>
              <c:dLblPos val="bestFit"/>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92B9-403A-AD67-D84E748F441D}"/>
                </c:ext>
              </c:extLst>
            </c:dLbl>
            <c:dLbl>
              <c:idx val="7"/>
              <c:layout>
                <c:manualLayout>
                  <c:x val="-5.5751259642840514E-2"/>
                  <c:y val="5.1587301587301577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rgbClr val="C00000"/>
                        </a:solidFill>
                        <a:latin typeface="+mn-lt"/>
                        <a:ea typeface="+mn-ea"/>
                        <a:cs typeface="+mn-cs"/>
                      </a:defRPr>
                    </a:pPr>
                    <a:r>
                      <a:rPr lang="en-US">
                        <a:solidFill>
                          <a:srgbClr val="C00000"/>
                        </a:solidFill>
                      </a:rPr>
                      <a:t>Communication</a:t>
                    </a:r>
                  </a:p>
                  <a:p>
                    <a:pPr>
                      <a:defRPr sz="800" b="1" i="0" u="none" strike="noStrike" kern="1200" spc="0" baseline="0">
                        <a:solidFill>
                          <a:srgbClr val="C00000"/>
                        </a:solidFill>
                        <a:latin typeface="+mn-lt"/>
                        <a:ea typeface="+mn-ea"/>
                        <a:cs typeface="+mn-cs"/>
                      </a:defRPr>
                    </a:pPr>
                    <a:r>
                      <a:rPr lang="en-US">
                        <a:solidFill>
                          <a:srgbClr val="C00000"/>
                        </a:solidFill>
                      </a:rPr>
                      <a:t>3.178</a:t>
                    </a:r>
                  </a:p>
                </c:rich>
              </c:tx>
              <c:spPr>
                <a:noFill/>
                <a:ln>
                  <a:noFill/>
                </a:ln>
                <a:effectLst/>
              </c:spPr>
              <c:dLblPos val="bestFit"/>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2B9-403A-AD67-D84E748F441D}"/>
                </c:ext>
              </c:extLst>
            </c:dLbl>
            <c:dLbl>
              <c:idx val="8"/>
              <c:layout>
                <c:manualLayout>
                  <c:x val="-6.1687888126410226E-2"/>
                  <c:y val="-2.5793650793650789E-2"/>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chemeClr val="accent3">
                            <a:lumMod val="75000"/>
                          </a:schemeClr>
                        </a:solidFill>
                        <a:latin typeface="+mn-lt"/>
                        <a:ea typeface="+mn-ea"/>
                        <a:cs typeface="+mn-cs"/>
                      </a:defRPr>
                    </a:pPr>
                    <a:fld id="{2332474C-E926-4379-8873-958450B4F869}" type="CATEGORYNAME">
                      <a:rPr lang="en-US">
                        <a:solidFill>
                          <a:schemeClr val="accent3">
                            <a:lumMod val="75000"/>
                          </a:schemeClr>
                        </a:solidFill>
                      </a:rPr>
                      <a:pPr>
                        <a:defRPr sz="800" b="1" i="0" u="none" strike="noStrike" kern="1200" spc="0" baseline="0">
                          <a:solidFill>
                            <a:schemeClr val="accent3">
                              <a:lumMod val="75000"/>
                            </a:schemeClr>
                          </a:solidFill>
                          <a:latin typeface="+mn-lt"/>
                          <a:ea typeface="+mn-ea"/>
                          <a:cs typeface="+mn-cs"/>
                        </a:defRPr>
                      </a:pPr>
                      <a:t>[NOM DE CATÉGORIE]</a:t>
                    </a:fld>
                    <a:endParaRPr lang="en-US">
                      <a:solidFill>
                        <a:schemeClr val="accent3">
                          <a:lumMod val="75000"/>
                        </a:schemeClr>
                      </a:solidFill>
                    </a:endParaRPr>
                  </a:p>
                  <a:p>
                    <a:pPr>
                      <a:defRPr sz="800" b="1" i="0" u="none" strike="noStrike" kern="1200" spc="0" baseline="0">
                        <a:solidFill>
                          <a:schemeClr val="accent3">
                            <a:lumMod val="75000"/>
                          </a:schemeClr>
                        </a:solidFill>
                        <a:latin typeface="+mn-lt"/>
                        <a:ea typeface="+mn-ea"/>
                        <a:cs typeface="+mn-cs"/>
                      </a:defRPr>
                    </a:pPr>
                    <a:r>
                      <a:rPr lang="en-US">
                        <a:solidFill>
                          <a:schemeClr val="accent3">
                            <a:lumMod val="75000"/>
                          </a:schemeClr>
                        </a:solidFill>
                      </a:rPr>
                      <a:t>2.872</a:t>
                    </a:r>
                  </a:p>
                </c:rich>
              </c:tx>
              <c:spPr>
                <a:noFill/>
                <a:ln>
                  <a:noFill/>
                </a:ln>
                <a:effectLst/>
              </c:spPr>
              <c:dLblPos val="bestFit"/>
              <c:showCatName val="1"/>
              <c:extLst xmlns:c16r2="http://schemas.microsoft.com/office/drawing/2015/06/chart">
                <c:ext xmlns:c15="http://schemas.microsoft.com/office/drawing/2012/chart" uri="{CE6537A1-D6FC-4f65-9D91-7224C49458BB}">
                  <c15:layout>
                    <c:manualLayout>
                      <c:w val="0.17499999999999999"/>
                      <c:h val="0.10130952380952381"/>
                    </c:manualLayout>
                  </c15:layout>
                  <c15:dlblFieldTable/>
                  <c15:showDataLabelsRange val="0"/>
                </c:ext>
                <c:ext xmlns:c16="http://schemas.microsoft.com/office/drawing/2014/chart" uri="{C3380CC4-5D6E-409C-BE32-E72D297353CC}">
                  <c16:uniqueId val="{00000011-92B9-403A-AD67-D84E748F441D}"/>
                </c:ext>
              </c:extLst>
            </c:dLbl>
            <c:dLbl>
              <c:idx val="9"/>
              <c:layout>
                <c:manualLayout>
                  <c:x val="-2.9585798816568046E-2"/>
                  <c:y val="-1.5873015873015889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rgbClr val="7030A0"/>
                        </a:solidFill>
                        <a:latin typeface="+mn-lt"/>
                        <a:ea typeface="+mn-ea"/>
                        <a:cs typeface="+mn-cs"/>
                      </a:defRPr>
                    </a:pPr>
                    <a:fld id="{CA3109F1-7D4C-4DDD-9C0F-658093370021}" type="CATEGORYNAME">
                      <a:rPr lang="en-US">
                        <a:solidFill>
                          <a:srgbClr val="7030A0"/>
                        </a:solidFill>
                      </a:rPr>
                      <a:pPr>
                        <a:defRPr sz="800" b="1" i="0" u="none" strike="noStrike" kern="1200" spc="0" baseline="0">
                          <a:solidFill>
                            <a:srgbClr val="7030A0"/>
                          </a:solidFill>
                          <a:latin typeface="+mn-lt"/>
                          <a:ea typeface="+mn-ea"/>
                          <a:cs typeface="+mn-cs"/>
                        </a:defRPr>
                      </a:pPr>
                      <a:t>[NOM DE CATÉGORIE]</a:t>
                    </a:fld>
                    <a:endParaRPr lang="en-US">
                      <a:solidFill>
                        <a:srgbClr val="7030A0"/>
                      </a:solidFill>
                    </a:endParaRPr>
                  </a:p>
                  <a:p>
                    <a:pPr>
                      <a:defRPr sz="800" b="1" i="0" u="none" strike="noStrike" kern="1200" spc="0" baseline="0">
                        <a:solidFill>
                          <a:srgbClr val="7030A0"/>
                        </a:solidFill>
                        <a:latin typeface="+mn-lt"/>
                        <a:ea typeface="+mn-ea"/>
                        <a:cs typeface="+mn-cs"/>
                      </a:defRPr>
                    </a:pPr>
                    <a:r>
                      <a:rPr lang="en-US">
                        <a:solidFill>
                          <a:srgbClr val="7030A0"/>
                        </a:solidFill>
                      </a:rPr>
                      <a:t>6.585</a:t>
                    </a:r>
                  </a:p>
                </c:rich>
              </c:tx>
              <c:spPr>
                <a:noFill/>
                <a:ln>
                  <a:noFill/>
                </a:ln>
                <a:effectLst/>
              </c:spPr>
              <c:dLblPos val="bestFit"/>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3-92B9-403A-AD67-D84E748F441D}"/>
                </c:ext>
              </c:extLst>
            </c:dLbl>
            <c:dLbl>
              <c:idx val="10"/>
              <c:layout>
                <c:manualLayout>
                  <c:x val="2.9585798816568046E-2"/>
                  <c:y val="-5.9523809523809507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rgbClr val="92D050"/>
                        </a:solidFill>
                        <a:latin typeface="+mn-lt"/>
                        <a:ea typeface="+mn-ea"/>
                        <a:cs typeface="+mn-cs"/>
                      </a:defRPr>
                    </a:pPr>
                    <a:fld id="{15B0D8C0-3196-4659-8FB8-95829B175A7A}" type="CATEGORYNAME">
                      <a:rPr lang="en-US">
                        <a:solidFill>
                          <a:srgbClr val="92D050"/>
                        </a:solidFill>
                      </a:rPr>
                      <a:pPr>
                        <a:defRPr sz="800" b="1" i="0" u="none" strike="noStrike" kern="1200" spc="0" baseline="0">
                          <a:solidFill>
                            <a:srgbClr val="92D050"/>
                          </a:solidFill>
                          <a:latin typeface="+mn-lt"/>
                          <a:ea typeface="+mn-ea"/>
                          <a:cs typeface="+mn-cs"/>
                        </a:defRPr>
                      </a:pPr>
                      <a:t>[NOM DE CATÉGORIE]</a:t>
                    </a:fld>
                    <a:endParaRPr lang="en-US">
                      <a:solidFill>
                        <a:srgbClr val="92D050"/>
                      </a:solidFill>
                    </a:endParaRPr>
                  </a:p>
                  <a:p>
                    <a:pPr>
                      <a:defRPr sz="800" b="1" i="0" u="none" strike="noStrike" kern="1200" spc="0" baseline="0">
                        <a:solidFill>
                          <a:srgbClr val="92D050"/>
                        </a:solidFill>
                        <a:latin typeface="+mn-lt"/>
                        <a:ea typeface="+mn-ea"/>
                        <a:cs typeface="+mn-cs"/>
                      </a:defRPr>
                    </a:pPr>
                    <a:r>
                      <a:rPr lang="en-US">
                        <a:solidFill>
                          <a:srgbClr val="92D050"/>
                        </a:solidFill>
                      </a:rPr>
                      <a:t>1.601</a:t>
                    </a:r>
                  </a:p>
                </c:rich>
              </c:tx>
              <c:spPr>
                <a:noFill/>
                <a:ln>
                  <a:noFill/>
                </a:ln>
                <a:effectLst/>
              </c:spPr>
              <c:dLblPos val="bestFit"/>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5-92B9-403A-AD67-D84E748F441D}"/>
                </c:ext>
              </c:extLst>
            </c:dLbl>
            <c:dLbl>
              <c:idx val="11"/>
              <c:layout>
                <c:manualLayout>
                  <c:x val="0.19856139695174413"/>
                  <c:y val="-2.0225395212695212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75000"/>
                          </a:schemeClr>
                        </a:solidFill>
                        <a:latin typeface="+mn-lt"/>
                        <a:ea typeface="+mn-ea"/>
                        <a:cs typeface="+mn-cs"/>
                      </a:defRPr>
                    </a:pPr>
                    <a:fld id="{B058379F-4215-4B45-AE3F-D4595FB5B08E}" type="CATEGORYNAME">
                      <a:rPr lang="en-US">
                        <a:solidFill>
                          <a:schemeClr val="accent2">
                            <a:lumMod val="75000"/>
                          </a:schemeClr>
                        </a:solidFill>
                      </a:rPr>
                      <a:pPr>
                        <a:defRPr sz="800" b="1" i="0" u="none" strike="noStrike" kern="1200" spc="0" baseline="0">
                          <a:solidFill>
                            <a:schemeClr val="accent2">
                              <a:lumMod val="75000"/>
                            </a:schemeClr>
                          </a:solidFill>
                          <a:latin typeface="+mn-lt"/>
                          <a:ea typeface="+mn-ea"/>
                          <a:cs typeface="+mn-cs"/>
                        </a:defRPr>
                      </a:pPr>
                      <a:t>[NOM DE CATÉGORIE]</a:t>
                    </a:fld>
                    <a:endParaRPr lang="en-US">
                      <a:solidFill>
                        <a:schemeClr val="accent2">
                          <a:lumMod val="75000"/>
                        </a:schemeClr>
                      </a:solidFill>
                    </a:endParaRPr>
                  </a:p>
                  <a:p>
                    <a:pPr>
                      <a:defRPr sz="800" b="1" i="0" u="none" strike="noStrike" kern="1200" spc="0" baseline="0">
                        <a:solidFill>
                          <a:schemeClr val="accent2">
                            <a:lumMod val="75000"/>
                          </a:schemeClr>
                        </a:solidFill>
                        <a:latin typeface="+mn-lt"/>
                        <a:ea typeface="+mn-ea"/>
                        <a:cs typeface="+mn-cs"/>
                      </a:defRPr>
                    </a:pPr>
                    <a:r>
                      <a:rPr lang="en-US">
                        <a:solidFill>
                          <a:schemeClr val="accent2">
                            <a:lumMod val="75000"/>
                          </a:schemeClr>
                        </a:solidFill>
                      </a:rPr>
                      <a:t>7.244</a:t>
                    </a:r>
                  </a:p>
                </c:rich>
              </c:tx>
              <c:spPr>
                <a:noFill/>
                <a:ln>
                  <a:noFill/>
                </a:ln>
                <a:effectLst/>
              </c:spPr>
              <c:dLblPos val="bestFit"/>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7-92B9-403A-AD67-D84E748F441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fr-FR"/>
              </a:p>
            </c:txPr>
            <c:dLblPos val="outEnd"/>
            <c:showCatName val="1"/>
            <c:showLeaderLines val="1"/>
            <c:leaderLines>
              <c:spPr>
                <a:ln w="12700" cap="flat" cmpd="sng" algn="ctr">
                  <a:solidFill>
                    <a:schemeClr val="dk1"/>
                  </a:solidFill>
                  <a:prstDash val="solid"/>
                  <a:miter lim="800000"/>
                </a:ln>
                <a:effectLst/>
              </c:spPr>
            </c:leaderLines>
            <c:extLst xmlns:c16r2="http://schemas.microsoft.com/office/drawing/2015/06/chart">
              <c:ext xmlns:c15="http://schemas.microsoft.com/office/drawing/2012/chart" uri="{CE6537A1-D6FC-4f65-9D91-7224C49458BB}"/>
            </c:extLst>
          </c:dLbls>
          <c:cat>
            <c:strRef>
              <c:f>Feuil1!$A$2:$A$13</c:f>
              <c:strCache>
                <c:ptCount val="12"/>
                <c:pt idx="0">
                  <c:v>Produits alimentaires et boissons non alcoolisées</c:v>
                </c:pt>
                <c:pt idx="1">
                  <c:v>Boissons alcoolisées et tabac</c:v>
                </c:pt>
                <c:pt idx="2">
                  <c:v>Articles d'habillement et chaussures</c:v>
                </c:pt>
                <c:pt idx="3">
                  <c:v>Logement, eau, électricité et autres combustibles</c:v>
                </c:pt>
                <c:pt idx="4">
                  <c:v>Meubles, articles de ménages et entretien courant du   foyer</c:v>
                </c:pt>
                <c:pt idx="5">
                  <c:v>Santé</c:v>
                </c:pt>
                <c:pt idx="6">
                  <c:v>Transport</c:v>
                </c:pt>
                <c:pt idx="7">
                  <c:v>communication</c:v>
                </c:pt>
                <c:pt idx="8">
                  <c:v>Loisirs et culture</c:v>
                </c:pt>
                <c:pt idx="9">
                  <c:v>Enseignement</c:v>
                </c:pt>
                <c:pt idx="10">
                  <c:v>Restaurants et hôtels</c:v>
                </c:pt>
                <c:pt idx="11">
                  <c:v>Biens et services divers</c:v>
                </c:pt>
              </c:strCache>
            </c:strRef>
          </c:cat>
          <c:val>
            <c:numRef>
              <c:f>Feuil1!$B$2:$B$13</c:f>
              <c:numCache>
                <c:formatCode>General</c:formatCode>
                <c:ptCount val="12"/>
                <c:pt idx="0">
                  <c:v>33.403000000000006</c:v>
                </c:pt>
                <c:pt idx="1">
                  <c:v>1.2769999999999995</c:v>
                </c:pt>
                <c:pt idx="2">
                  <c:v>3.8019999999999992</c:v>
                </c:pt>
                <c:pt idx="3">
                  <c:v>13.531000000000001</c:v>
                </c:pt>
                <c:pt idx="4">
                  <c:v>4.508</c:v>
                </c:pt>
                <c:pt idx="5">
                  <c:v>9.2680000000000025</c:v>
                </c:pt>
                <c:pt idx="6">
                  <c:v>12.731</c:v>
                </c:pt>
                <c:pt idx="7">
                  <c:v>3.1779999999999999</c:v>
                </c:pt>
                <c:pt idx="8">
                  <c:v>2.871999999999999</c:v>
                </c:pt>
                <c:pt idx="9">
                  <c:v>6.585</c:v>
                </c:pt>
                <c:pt idx="10">
                  <c:v>1.601</c:v>
                </c:pt>
                <c:pt idx="11">
                  <c:v>7.2439999999999998</c:v>
                </c:pt>
              </c:numCache>
            </c:numRef>
          </c:val>
          <c:extLst xmlns:c16r2="http://schemas.microsoft.com/office/drawing/2015/06/chart">
            <c:ext xmlns:c16="http://schemas.microsoft.com/office/drawing/2014/chart" uri="{C3380CC4-5D6E-409C-BE32-E72D297353CC}">
              <c16:uniqueId val="{00000018-92B9-403A-AD67-D84E748F441D}"/>
            </c:ext>
          </c:extLst>
        </c:ser>
        <c:dLbls>
          <c:showCatName val="1"/>
        </c:dLbls>
      </c:pie3DChart>
      <c:spPr>
        <a:noFill/>
        <a:ln>
          <a:noFill/>
        </a:ln>
        <a:effectLst>
          <a:softEdge rad="38100"/>
        </a:effectLst>
      </c:spPr>
    </c:plotArea>
    <c:plotVisOnly val="1"/>
    <c:dispBlanksAs val="zero"/>
  </c:chart>
  <c:spPr>
    <a:solidFill>
      <a:schemeClr val="bg1"/>
    </a:solidFill>
    <a:ln w="19050" cap="flat" cmpd="sng" algn="ctr">
      <a:solidFill>
        <a:schemeClr val="tx1"/>
      </a:solidFill>
      <a:prstDash val="solid"/>
      <a:round/>
    </a:ln>
    <a:effectLst/>
  </c:spPr>
  <c:txPr>
    <a:bodyPr/>
    <a:lstStyle/>
    <a:p>
      <a:pPr>
        <a:defRPr/>
      </a:pPr>
      <a:endParaRPr lang="fr-FR"/>
    </a:p>
  </c:txPr>
  <c:externalData r:id="rId1"/>
</c:chartSpace>
</file>

<file path=word/drawings/drawing1.xml><?xml version="1.0" encoding="utf-8"?>
<c:userShapes xmlns:c="http://schemas.openxmlformats.org/drawingml/2006/chart">
  <cdr:relSizeAnchor xmlns:cdr="http://schemas.openxmlformats.org/drawingml/2006/chartDrawing">
    <cdr:from>
      <cdr:x>0.25248</cdr:x>
      <cdr:y>0.18986</cdr:y>
    </cdr:from>
    <cdr:to>
      <cdr:x>0.41915</cdr:x>
      <cdr:y>0.2792</cdr:y>
    </cdr:to>
    <cdr:sp macro="" textlink="">
      <cdr:nvSpPr>
        <cdr:cNvPr id="6" name="ZoneTexte 5"/>
        <cdr:cNvSpPr txBox="1"/>
      </cdr:nvSpPr>
      <cdr:spPr>
        <a:xfrm xmlns:a="http://schemas.openxmlformats.org/drawingml/2006/main">
          <a:off x="1385208" y="555172"/>
          <a:ext cx="914400" cy="261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0.89211</cdr:x>
      <cdr:y>0.31329</cdr:y>
    </cdr:from>
    <cdr:to>
      <cdr:x>0.96686</cdr:x>
      <cdr:y>0.37068</cdr:y>
    </cdr:to>
    <cdr:sp macro="" textlink="">
      <cdr:nvSpPr>
        <cdr:cNvPr id="8" name="ZoneTexte 7"/>
        <cdr:cNvSpPr txBox="1"/>
      </cdr:nvSpPr>
      <cdr:spPr>
        <a:xfrm xmlns:a="http://schemas.openxmlformats.org/drawingml/2006/main">
          <a:off x="5083701" y="1079241"/>
          <a:ext cx="425962" cy="19770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800" b="1">
              <a:solidFill>
                <a:schemeClr val="tx1"/>
              </a:solidFill>
              <a:latin typeface="Times New Roman" pitchFamily="18" charset="0"/>
              <a:cs typeface="Times New Roman" pitchFamily="18" charset="0"/>
            </a:rPr>
            <a:t>Ecart</a:t>
          </a:r>
        </a:p>
      </cdr:txBody>
    </cdr:sp>
  </cdr:relSizeAnchor>
  <cdr:relSizeAnchor xmlns:cdr="http://schemas.openxmlformats.org/drawingml/2006/chartDrawing">
    <cdr:from>
      <cdr:x>0.56125</cdr:x>
      <cdr:y>0.23472</cdr:y>
    </cdr:from>
    <cdr:to>
      <cdr:x>0.62195</cdr:x>
      <cdr:y>0.31216</cdr:y>
    </cdr:to>
    <cdr:sp macro="" textlink="">
      <cdr:nvSpPr>
        <cdr:cNvPr id="21" name="ZoneTexte 20"/>
        <cdr:cNvSpPr txBox="1"/>
      </cdr:nvSpPr>
      <cdr:spPr>
        <a:xfrm xmlns:a="http://schemas.openxmlformats.org/drawingml/2006/main">
          <a:off x="3198258" y="808567"/>
          <a:ext cx="345898" cy="2667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800" b="1">
              <a:solidFill>
                <a:schemeClr val="tx1"/>
              </a:solidFill>
            </a:rPr>
            <a:t>0,5</a:t>
          </a:r>
          <a:endParaRPr lang="fr-FR" sz="1000" b="1">
            <a:solidFill>
              <a:schemeClr val="tx1"/>
            </a:solidFill>
          </a:endParaRPr>
        </a:p>
      </cdr:txBody>
    </cdr:sp>
  </cdr:relSizeAnchor>
  <cdr:relSizeAnchor xmlns:cdr="http://schemas.openxmlformats.org/drawingml/2006/chartDrawing">
    <cdr:from>
      <cdr:x>0.76932</cdr:x>
      <cdr:y>0.15812</cdr:y>
    </cdr:from>
    <cdr:to>
      <cdr:x>0.8267</cdr:x>
      <cdr:y>0.22951</cdr:y>
    </cdr:to>
    <cdr:sp macro="" textlink="">
      <cdr:nvSpPr>
        <cdr:cNvPr id="22" name="ZoneTexte 21"/>
        <cdr:cNvSpPr txBox="1"/>
      </cdr:nvSpPr>
      <cdr:spPr>
        <a:xfrm xmlns:a="http://schemas.openxmlformats.org/drawingml/2006/main">
          <a:off x="4383958" y="544712"/>
          <a:ext cx="326995" cy="2459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800" b="1">
              <a:solidFill>
                <a:schemeClr val="tx1"/>
              </a:solidFill>
            </a:rPr>
            <a:t>1,3</a:t>
          </a:r>
          <a:endParaRPr lang="fr-FR" sz="1000" b="1">
            <a:solidFill>
              <a:schemeClr val="tx1"/>
            </a:solidFill>
          </a:endParaRP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0.91114</cdr:x>
      <cdr:y>0.36042</cdr:y>
    </cdr:from>
    <cdr:to>
      <cdr:x>0.94784</cdr:x>
      <cdr:y>0.37734</cdr:y>
    </cdr:to>
    <cdr:sp macro="" textlink="">
      <cdr:nvSpPr>
        <cdr:cNvPr id="10" name="Flèche gauche 9"/>
        <cdr:cNvSpPr/>
      </cdr:nvSpPr>
      <cdr:spPr>
        <a:xfrm xmlns:a="http://schemas.openxmlformats.org/drawingml/2006/main">
          <a:off x="5192123" y="1241612"/>
          <a:ext cx="209112" cy="58270"/>
        </a:xfrm>
        <a:prstGeom xmlns:a="http://schemas.openxmlformats.org/drawingml/2006/main" prst="leftArrow">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0.25248</cdr:x>
      <cdr:y>0.18986</cdr:y>
    </cdr:from>
    <cdr:to>
      <cdr:x>0.41915</cdr:x>
      <cdr:y>0.2792</cdr:y>
    </cdr:to>
    <cdr:sp macro="" textlink="">
      <cdr:nvSpPr>
        <cdr:cNvPr id="6" name="ZoneTexte 5"/>
        <cdr:cNvSpPr txBox="1"/>
      </cdr:nvSpPr>
      <cdr:spPr>
        <a:xfrm xmlns:a="http://schemas.openxmlformats.org/drawingml/2006/main">
          <a:off x="1385208" y="555172"/>
          <a:ext cx="914400" cy="261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0.85524</cdr:x>
      <cdr:y>0.53843</cdr:y>
    </cdr:from>
    <cdr:to>
      <cdr:x>0.92999</cdr:x>
      <cdr:y>0.59582</cdr:y>
    </cdr:to>
    <cdr:sp macro="" textlink="">
      <cdr:nvSpPr>
        <cdr:cNvPr id="8" name="ZoneTexte 7"/>
        <cdr:cNvSpPr txBox="1"/>
      </cdr:nvSpPr>
      <cdr:spPr>
        <a:xfrm xmlns:a="http://schemas.openxmlformats.org/drawingml/2006/main">
          <a:off x="5031071" y="1964243"/>
          <a:ext cx="439727" cy="2093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900" b="1">
              <a:solidFill>
                <a:schemeClr val="tx1"/>
              </a:solidFill>
              <a:latin typeface="Times New Roman" pitchFamily="18" charset="0"/>
              <a:cs typeface="Times New Roman" pitchFamily="18" charset="0"/>
            </a:rPr>
            <a:t>Ecart</a:t>
          </a:r>
        </a:p>
      </cdr:txBody>
    </cdr:sp>
  </cdr:relSizeAnchor>
  <cdr:relSizeAnchor xmlns:cdr="http://schemas.openxmlformats.org/drawingml/2006/chartDrawing">
    <cdr:from>
      <cdr:x>0.5606</cdr:x>
      <cdr:y>0.16379</cdr:y>
    </cdr:from>
    <cdr:to>
      <cdr:x>0.6213</cdr:x>
      <cdr:y>0.24123</cdr:y>
    </cdr:to>
    <cdr:sp macro="" textlink="">
      <cdr:nvSpPr>
        <cdr:cNvPr id="21" name="ZoneTexte 20"/>
        <cdr:cNvSpPr txBox="1"/>
      </cdr:nvSpPr>
      <cdr:spPr>
        <a:xfrm xmlns:a="http://schemas.openxmlformats.org/drawingml/2006/main">
          <a:off x="3407428" y="597518"/>
          <a:ext cx="368948" cy="2825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solidFill>
                <a:schemeClr val="tx1"/>
              </a:solidFill>
            </a:rPr>
            <a:t>7,4</a:t>
          </a:r>
        </a:p>
      </cdr:txBody>
    </cdr:sp>
  </cdr:relSizeAnchor>
  <cdr:relSizeAnchor xmlns:cdr="http://schemas.openxmlformats.org/drawingml/2006/chartDrawing">
    <cdr:from>
      <cdr:x>0.76007</cdr:x>
      <cdr:y>0.11746</cdr:y>
    </cdr:from>
    <cdr:to>
      <cdr:x>0.82287</cdr:x>
      <cdr:y>0.18885</cdr:y>
    </cdr:to>
    <cdr:sp macro="" textlink="">
      <cdr:nvSpPr>
        <cdr:cNvPr id="22" name="ZoneTexte 21"/>
        <cdr:cNvSpPr txBox="1"/>
      </cdr:nvSpPr>
      <cdr:spPr>
        <a:xfrm xmlns:a="http://schemas.openxmlformats.org/drawingml/2006/main">
          <a:off x="4619852" y="428492"/>
          <a:ext cx="381712" cy="2604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solidFill>
                <a:schemeClr val="tx1"/>
              </a:solidFill>
            </a:rPr>
            <a:t>7,4</a:t>
          </a: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0.87414</cdr:x>
      <cdr:y>0.58169</cdr:y>
    </cdr:from>
    <cdr:to>
      <cdr:x>0.91575</cdr:x>
      <cdr:y>0.59477</cdr:y>
    </cdr:to>
    <cdr:sp macro="" textlink="">
      <cdr:nvSpPr>
        <cdr:cNvPr id="10" name="Flèche gauche 9"/>
        <cdr:cNvSpPr/>
      </cdr:nvSpPr>
      <cdr:spPr>
        <a:xfrm xmlns:a="http://schemas.openxmlformats.org/drawingml/2006/main">
          <a:off x="5142231" y="2122033"/>
          <a:ext cx="244777" cy="47717"/>
        </a:xfrm>
        <a:prstGeom xmlns:a="http://schemas.openxmlformats.org/drawingml/2006/main" prst="leftArrow">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3.xml><?xml version="1.0" encoding="utf-8"?>
<c:userShapes xmlns:c="http://schemas.openxmlformats.org/drawingml/2006/chart">
  <cdr:relSizeAnchor xmlns:cdr="http://schemas.openxmlformats.org/drawingml/2006/chartDrawing">
    <cdr:from>
      <cdr:x>0.72783</cdr:x>
      <cdr:y>0</cdr:y>
    </cdr:from>
    <cdr:to>
      <cdr:x>0.86835</cdr:x>
      <cdr:y>0.08808</cdr:y>
    </cdr:to>
    <cdr:sp macro="" textlink="">
      <cdr:nvSpPr>
        <cdr:cNvPr id="7" name="ZoneTexte 6"/>
        <cdr:cNvSpPr txBox="1"/>
      </cdr:nvSpPr>
      <cdr:spPr>
        <a:xfrm xmlns:a="http://schemas.openxmlformats.org/drawingml/2006/main">
          <a:off x="3209323" y="0"/>
          <a:ext cx="619614"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cdr:txBody>
    </cdr:sp>
  </cdr:relSizeAnchor>
  <cdr:relSizeAnchor xmlns:cdr="http://schemas.openxmlformats.org/drawingml/2006/chartDrawing">
    <cdr:from>
      <cdr:x>0</cdr:x>
      <cdr:y>0</cdr:y>
    </cdr:from>
    <cdr:to>
      <cdr:x>0</cdr:x>
      <cdr:y>0</cdr:y>
    </cdr:to>
    <cdr:sp macro="" textlink="">
      <cdr:nvSpPr>
        <cdr:cNvPr id="22" name="Connecteur droit 21"/>
        <cdr:cNvSpPr/>
      </cdr:nvSpPr>
      <cdr:spPr>
        <a:xfrm xmlns:a="http://schemas.openxmlformats.org/drawingml/2006/main" flipH="1">
          <a:off x="-285750" y="-762000"/>
          <a:ext cx="0"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0.83548</cdr:x>
      <cdr:y>0.05994</cdr:y>
    </cdr:from>
    <cdr:to>
      <cdr:x>1</cdr:x>
      <cdr:y>0.17035</cdr:y>
    </cdr:to>
    <cdr:sp macro="" textlink="">
      <cdr:nvSpPr>
        <cdr:cNvPr id="15" name="ZoneTexte 14"/>
        <cdr:cNvSpPr txBox="1"/>
      </cdr:nvSpPr>
      <cdr:spPr>
        <a:xfrm xmlns:a="http://schemas.openxmlformats.org/drawingml/2006/main">
          <a:off x="3905250" y="180975"/>
          <a:ext cx="768985" cy="333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0.39385</cdr:x>
      <cdr:y>0.47958</cdr:y>
    </cdr:from>
    <cdr:to>
      <cdr:x>0.46972</cdr:x>
      <cdr:y>0.54422</cdr:y>
    </cdr:to>
    <cdr:sp macro="" textlink="">
      <cdr:nvSpPr>
        <cdr:cNvPr id="34" name="Zone de texte 33"/>
        <cdr:cNvSpPr txBox="1"/>
      </cdr:nvSpPr>
      <cdr:spPr>
        <a:xfrm xmlns:a="http://schemas.openxmlformats.org/drawingml/2006/main">
          <a:off x="2148082" y="1391703"/>
          <a:ext cx="413796" cy="1875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050" b="1"/>
        </a:p>
      </cdr:txBody>
    </cdr:sp>
  </cdr:relSizeAnchor>
  <cdr:relSizeAnchor xmlns:cdr="http://schemas.openxmlformats.org/drawingml/2006/chartDrawing">
    <cdr:from>
      <cdr:x>0.70268</cdr:x>
      <cdr:y>0.19462</cdr:y>
    </cdr:from>
    <cdr:to>
      <cdr:x>0.79308</cdr:x>
      <cdr:y>0.24559</cdr:y>
    </cdr:to>
    <cdr:sp macro="" textlink="">
      <cdr:nvSpPr>
        <cdr:cNvPr id="17" name="Zone de texte 16"/>
        <cdr:cNvSpPr txBox="1"/>
      </cdr:nvSpPr>
      <cdr:spPr>
        <a:xfrm xmlns:a="http://schemas.openxmlformats.org/drawingml/2006/main">
          <a:off x="3832412" y="564776"/>
          <a:ext cx="493059" cy="1479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0.83434</cdr:x>
      <cdr:y>0.13337</cdr:y>
    </cdr:from>
    <cdr:to>
      <cdr:x>0.89269</cdr:x>
      <cdr:y>0.21678</cdr:y>
    </cdr:to>
    <cdr:sp macro="" textlink="">
      <cdr:nvSpPr>
        <cdr:cNvPr id="18" name="Zone de texte 17"/>
        <cdr:cNvSpPr txBox="1"/>
      </cdr:nvSpPr>
      <cdr:spPr>
        <a:xfrm xmlns:a="http://schemas.openxmlformats.org/drawingml/2006/main">
          <a:off x="4550481" y="402454"/>
          <a:ext cx="318242" cy="2516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solidFill>
                <a:srgbClr val="FF0000"/>
              </a:solidFill>
            </a:rPr>
            <a:t>6,6%</a:t>
          </a:r>
        </a:p>
      </cdr:txBody>
    </cdr:sp>
  </cdr:relSizeAnchor>
  <cdr:relSizeAnchor xmlns:cdr="http://schemas.openxmlformats.org/drawingml/2006/chartDrawing">
    <cdr:from>
      <cdr:x>0.69446</cdr:x>
      <cdr:y>0.25949</cdr:y>
    </cdr:from>
    <cdr:to>
      <cdr:x>0.7487</cdr:x>
      <cdr:y>0.32282</cdr:y>
    </cdr:to>
    <cdr:sp macro="" textlink="">
      <cdr:nvSpPr>
        <cdr:cNvPr id="19" name="Zone de texte 18"/>
        <cdr:cNvSpPr txBox="1"/>
      </cdr:nvSpPr>
      <cdr:spPr>
        <a:xfrm xmlns:a="http://schemas.openxmlformats.org/drawingml/2006/main">
          <a:off x="3787588" y="753035"/>
          <a:ext cx="295836" cy="1837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0.59025</cdr:x>
      <cdr:y>0.58342</cdr:y>
    </cdr:from>
    <cdr:to>
      <cdr:x>0.65106</cdr:x>
      <cdr:y>0.66992</cdr:y>
    </cdr:to>
    <cdr:sp macro="" textlink="">
      <cdr:nvSpPr>
        <cdr:cNvPr id="20" name="Zone de texte 19"/>
        <cdr:cNvSpPr txBox="1"/>
      </cdr:nvSpPr>
      <cdr:spPr>
        <a:xfrm xmlns:a="http://schemas.openxmlformats.org/drawingml/2006/main">
          <a:off x="3219243" y="1760481"/>
          <a:ext cx="331659" cy="2610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solidFill>
                <a:srgbClr val="FF0000"/>
              </a:solidFill>
            </a:rPr>
            <a:t>0,7%</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9B5FE4-70E3-403D-A3BF-90215DF3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5926</Words>
  <Characters>32597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Indice des Prix à la Consommation 2019 (Base100:2017)</vt:lpstr>
    </vt:vector>
  </TitlesOfParts>
  <Company>Sweet</Company>
  <LinksUpToDate>false</LinksUpToDate>
  <CharactersWithSpaces>38447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des Prix à la Consommation 2019 (Base100:2017)</dc:title>
  <dc:subject>Rapport annuel</dc:subject>
  <dc:creator>SWEET</dc:creator>
  <cp:lastModifiedBy>user</cp:lastModifiedBy>
  <cp:revision>2</cp:revision>
  <cp:lastPrinted>2021-03-19T22:53:00Z</cp:lastPrinted>
  <dcterms:created xsi:type="dcterms:W3CDTF">2024-11-21T11:49:00Z</dcterms:created>
  <dcterms:modified xsi:type="dcterms:W3CDTF">2024-11-21T11:49:00Z</dcterms:modified>
</cp:coreProperties>
</file>