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76" w:rsidRDefault="00CF1276" w:rsidP="00CF1276">
      <w:pPr>
        <w:pStyle w:val="Titre"/>
        <w:jc w:val="center"/>
        <w:rPr>
          <w:rFonts w:asciiTheme="majorBidi" w:hAnsiTheme="majorBidi"/>
          <w:b/>
          <w:bCs/>
          <w:i/>
          <w:iCs/>
          <w:color w:val="0070C0"/>
          <w:sz w:val="24"/>
          <w:szCs w:val="24"/>
        </w:rPr>
      </w:pPr>
    </w:p>
    <w:p w:rsidR="00050098" w:rsidRPr="00050098" w:rsidRDefault="00050098" w:rsidP="00050098">
      <w:pPr>
        <w:jc w:val="center"/>
      </w:pPr>
    </w:p>
    <w:p w:rsidR="00CF1276" w:rsidRDefault="00CF1276" w:rsidP="00CF1276">
      <w:pPr>
        <w:pStyle w:val="Titre"/>
        <w:jc w:val="center"/>
        <w:rPr>
          <w:rFonts w:asciiTheme="majorBidi" w:hAnsiTheme="majorBidi"/>
          <w:b/>
          <w:bCs/>
          <w:i/>
          <w:iCs/>
          <w:color w:val="0070C0"/>
          <w:sz w:val="24"/>
          <w:szCs w:val="24"/>
        </w:rPr>
      </w:pPr>
    </w:p>
    <w:p w:rsidR="0032604C" w:rsidRDefault="0032604C" w:rsidP="00CF1276">
      <w:pPr>
        <w:pStyle w:val="Titre"/>
        <w:spacing w:line="276" w:lineRule="auto"/>
        <w:jc w:val="center"/>
        <w:rPr>
          <w:rFonts w:asciiTheme="majorBidi" w:hAnsiTheme="majorBidi"/>
          <w:b/>
          <w:bCs/>
          <w:i/>
          <w:iCs/>
          <w:color w:val="0070C0"/>
          <w:sz w:val="26"/>
          <w:szCs w:val="26"/>
        </w:rPr>
      </w:pPr>
    </w:p>
    <w:p w:rsidR="0032604C" w:rsidRDefault="002D7909" w:rsidP="00CF1276">
      <w:pPr>
        <w:pStyle w:val="Titre"/>
        <w:spacing w:line="276" w:lineRule="auto"/>
        <w:jc w:val="center"/>
        <w:rPr>
          <w:rFonts w:asciiTheme="majorBidi" w:hAnsiTheme="majorBidi"/>
          <w:b/>
          <w:bCs/>
          <w:i/>
          <w:iCs/>
          <w:color w:val="0070C0"/>
          <w:sz w:val="26"/>
          <w:szCs w:val="26"/>
        </w:rPr>
      </w:pPr>
      <w:r>
        <w:rPr>
          <w:rFonts w:asciiTheme="majorBidi" w:hAnsiTheme="majorBidi"/>
          <w:b/>
          <w:bCs/>
          <w:i/>
          <w:iCs/>
          <w:color w:val="0070C0"/>
          <w:sz w:val="26"/>
          <w:szCs w:val="26"/>
        </w:rPr>
        <w:t xml:space="preserve">         </w:t>
      </w:r>
    </w:p>
    <w:p w:rsidR="0032604C" w:rsidRDefault="0032604C" w:rsidP="00CF1276">
      <w:pPr>
        <w:pStyle w:val="Titre"/>
        <w:spacing w:line="276" w:lineRule="auto"/>
        <w:jc w:val="center"/>
        <w:rPr>
          <w:rFonts w:asciiTheme="majorBidi" w:hAnsiTheme="majorBidi"/>
          <w:b/>
          <w:bCs/>
          <w:i/>
          <w:iCs/>
          <w:color w:val="0070C0"/>
          <w:sz w:val="26"/>
          <w:szCs w:val="26"/>
        </w:rPr>
      </w:pPr>
    </w:p>
    <w:p w:rsidR="00CF1276" w:rsidRPr="00CF1276" w:rsidRDefault="009006C2" w:rsidP="00CF1276">
      <w:pPr>
        <w:pStyle w:val="Titre"/>
        <w:spacing w:line="276" w:lineRule="auto"/>
        <w:jc w:val="center"/>
        <w:rPr>
          <w:rFonts w:asciiTheme="majorBidi" w:hAnsiTheme="majorBidi"/>
          <w:b/>
          <w:bCs/>
          <w:i/>
          <w:iCs/>
          <w:color w:val="0070C0"/>
          <w:sz w:val="26"/>
          <w:szCs w:val="26"/>
        </w:rPr>
      </w:pPr>
      <w:r w:rsidRPr="00CF1276">
        <w:rPr>
          <w:rFonts w:asciiTheme="majorBidi" w:hAnsiTheme="majorBidi"/>
          <w:b/>
          <w:bCs/>
          <w:i/>
          <w:iCs/>
          <w:color w:val="0070C0"/>
          <w:sz w:val="26"/>
          <w:szCs w:val="26"/>
        </w:rPr>
        <w:t>A</w:t>
      </w:r>
      <w:r w:rsidR="00CF1276" w:rsidRPr="00CF1276">
        <w:rPr>
          <w:rFonts w:asciiTheme="majorBidi" w:hAnsiTheme="majorBidi"/>
          <w:b/>
          <w:bCs/>
          <w:i/>
          <w:iCs/>
          <w:color w:val="0070C0"/>
          <w:sz w:val="26"/>
          <w:szCs w:val="26"/>
        </w:rPr>
        <w:t>pproche géo-démographique des risques majeurs d’exposition</w:t>
      </w:r>
    </w:p>
    <w:p w:rsidR="00210320" w:rsidRPr="002B7E49" w:rsidRDefault="00CF1276" w:rsidP="00CF1276">
      <w:pPr>
        <w:pStyle w:val="Titre"/>
        <w:spacing w:line="276" w:lineRule="auto"/>
        <w:jc w:val="center"/>
        <w:rPr>
          <w:rFonts w:asciiTheme="majorBidi" w:hAnsiTheme="majorBidi"/>
          <w:b/>
          <w:bCs/>
          <w:i/>
          <w:iCs/>
          <w:color w:val="0070C0"/>
          <w:sz w:val="24"/>
          <w:szCs w:val="24"/>
        </w:rPr>
      </w:pPr>
      <w:r w:rsidRPr="00CF1276">
        <w:rPr>
          <w:rFonts w:asciiTheme="majorBidi" w:hAnsiTheme="majorBidi"/>
          <w:b/>
          <w:bCs/>
          <w:i/>
          <w:iCs/>
          <w:color w:val="0070C0"/>
          <w:sz w:val="26"/>
          <w:szCs w:val="26"/>
        </w:rPr>
        <w:t xml:space="preserve">à la transmission </w:t>
      </w:r>
      <w:r w:rsidR="009006C2" w:rsidRPr="00CF1276">
        <w:rPr>
          <w:rFonts w:asciiTheme="majorBidi" w:hAnsiTheme="majorBidi"/>
          <w:b/>
          <w:bCs/>
          <w:i/>
          <w:iCs/>
          <w:color w:val="0070C0"/>
          <w:sz w:val="26"/>
          <w:szCs w:val="26"/>
        </w:rPr>
        <w:t>du coronavirus</w:t>
      </w:r>
    </w:p>
    <w:p w:rsidR="00CF1276" w:rsidRDefault="00CF1276" w:rsidP="00D15AA1">
      <w:pPr>
        <w:pStyle w:val="Paragraphedeliste"/>
        <w:spacing w:before="240" w:after="120" w:line="264" w:lineRule="auto"/>
        <w:ind w:left="0"/>
        <w:contextualSpacing w:val="0"/>
        <w:jc w:val="both"/>
        <w:rPr>
          <w:rFonts w:asciiTheme="majorBidi" w:hAnsiTheme="majorBidi" w:cstheme="majorBidi"/>
          <w:bCs/>
          <w:color w:val="000000" w:themeColor="text1"/>
        </w:rPr>
      </w:pPr>
    </w:p>
    <w:p w:rsidR="00D15AA1" w:rsidRDefault="00D15AA1" w:rsidP="00D5019C">
      <w:pPr>
        <w:pStyle w:val="Paragraphedeliste"/>
        <w:spacing w:before="240" w:after="120" w:line="264" w:lineRule="auto"/>
        <w:ind w:left="0"/>
        <w:contextualSpacing w:val="0"/>
        <w:jc w:val="both"/>
        <w:rPr>
          <w:rFonts w:asciiTheme="majorBidi" w:hAnsiTheme="majorBidi" w:cstheme="majorBidi"/>
          <w:bCs/>
          <w:color w:val="000000" w:themeColor="text1"/>
        </w:rPr>
      </w:pPr>
      <w:r>
        <w:rPr>
          <w:rFonts w:asciiTheme="majorBidi" w:hAnsiTheme="majorBidi" w:cstheme="majorBidi"/>
          <w:bCs/>
          <w:color w:val="000000" w:themeColor="text1"/>
        </w:rPr>
        <w:t>A</w:t>
      </w:r>
      <w:r w:rsidR="00CF1276">
        <w:rPr>
          <w:rFonts w:asciiTheme="majorBidi" w:hAnsiTheme="majorBidi" w:cstheme="majorBidi"/>
          <w:bCs/>
          <w:color w:val="000000" w:themeColor="text1"/>
        </w:rPr>
        <w:t xml:space="preserve">lors que le </w:t>
      </w:r>
      <w:r>
        <w:rPr>
          <w:rFonts w:asciiTheme="majorBidi" w:hAnsiTheme="majorBidi" w:cstheme="majorBidi"/>
          <w:bCs/>
          <w:color w:val="000000" w:themeColor="text1"/>
        </w:rPr>
        <w:t xml:space="preserve">Maroc </w:t>
      </w:r>
      <w:r w:rsidR="00CF1276">
        <w:rPr>
          <w:rFonts w:asciiTheme="majorBidi" w:hAnsiTheme="majorBidi" w:cstheme="majorBidi"/>
          <w:bCs/>
          <w:color w:val="000000" w:themeColor="text1"/>
        </w:rPr>
        <w:t>est</w:t>
      </w:r>
      <w:r>
        <w:rPr>
          <w:rFonts w:asciiTheme="majorBidi" w:hAnsiTheme="majorBidi" w:cstheme="majorBidi"/>
          <w:bCs/>
          <w:color w:val="000000" w:themeColor="text1"/>
        </w:rPr>
        <w:t xml:space="preserve"> appelé à lever le confinement de sa population d</w:t>
      </w:r>
      <w:r w:rsidRPr="00210320">
        <w:rPr>
          <w:rFonts w:asciiTheme="majorBidi" w:hAnsiTheme="majorBidi" w:cstheme="majorBidi"/>
          <w:bCs/>
          <w:color w:val="000000" w:themeColor="text1"/>
        </w:rPr>
        <w:t xml:space="preserve">ans </w:t>
      </w:r>
      <w:r>
        <w:rPr>
          <w:rFonts w:asciiTheme="majorBidi" w:hAnsiTheme="majorBidi" w:cstheme="majorBidi"/>
          <w:bCs/>
          <w:color w:val="000000" w:themeColor="text1"/>
        </w:rPr>
        <w:t xml:space="preserve">le </w:t>
      </w:r>
      <w:r w:rsidRPr="00210320">
        <w:rPr>
          <w:rFonts w:asciiTheme="majorBidi" w:hAnsiTheme="majorBidi" w:cstheme="majorBidi"/>
          <w:bCs/>
          <w:color w:val="000000" w:themeColor="text1"/>
        </w:rPr>
        <w:t xml:space="preserve">contexte </w:t>
      </w:r>
      <w:r>
        <w:rPr>
          <w:rFonts w:asciiTheme="majorBidi" w:hAnsiTheme="majorBidi" w:cstheme="majorBidi"/>
          <w:bCs/>
          <w:color w:val="000000" w:themeColor="text1"/>
        </w:rPr>
        <w:t>d</w:t>
      </w:r>
      <w:r w:rsidRPr="00210320">
        <w:rPr>
          <w:rFonts w:asciiTheme="majorBidi" w:hAnsiTheme="majorBidi" w:cstheme="majorBidi"/>
          <w:bCs/>
          <w:color w:val="000000" w:themeColor="text1"/>
        </w:rPr>
        <w:t xml:space="preserve">e </w:t>
      </w:r>
      <w:r>
        <w:rPr>
          <w:rFonts w:asciiTheme="majorBidi" w:hAnsiTheme="majorBidi" w:cstheme="majorBidi"/>
          <w:bCs/>
          <w:color w:val="000000" w:themeColor="text1"/>
        </w:rPr>
        <w:t xml:space="preserve">la </w:t>
      </w:r>
      <w:r w:rsidRPr="00210320">
        <w:rPr>
          <w:rFonts w:asciiTheme="majorBidi" w:hAnsiTheme="majorBidi" w:cstheme="majorBidi"/>
          <w:bCs/>
          <w:color w:val="000000" w:themeColor="text1"/>
        </w:rPr>
        <w:t>pandémie COVID-19,</w:t>
      </w:r>
      <w:r w:rsidR="00CF1276">
        <w:rPr>
          <w:rFonts w:asciiTheme="majorBidi" w:hAnsiTheme="majorBidi" w:cstheme="majorBidi"/>
          <w:bCs/>
          <w:color w:val="000000" w:themeColor="text1"/>
        </w:rPr>
        <w:t xml:space="preserve"> il est utile de </w:t>
      </w:r>
      <w:r w:rsidR="00D853EE">
        <w:rPr>
          <w:rFonts w:asciiTheme="majorBidi" w:hAnsiTheme="majorBidi" w:cstheme="majorBidi"/>
          <w:bCs/>
          <w:color w:val="000000" w:themeColor="text1"/>
        </w:rPr>
        <w:t xml:space="preserve">se </w:t>
      </w:r>
      <w:r w:rsidR="00CF1276">
        <w:rPr>
          <w:rFonts w:asciiTheme="majorBidi" w:hAnsiTheme="majorBidi" w:cstheme="majorBidi"/>
          <w:bCs/>
          <w:color w:val="000000" w:themeColor="text1"/>
        </w:rPr>
        <w:t>rappeler que la prop</w:t>
      </w:r>
      <w:r w:rsidR="00311F0A">
        <w:rPr>
          <w:rFonts w:asciiTheme="majorBidi" w:hAnsiTheme="majorBidi" w:cstheme="majorBidi"/>
          <w:bCs/>
          <w:color w:val="000000" w:themeColor="text1"/>
        </w:rPr>
        <w:t xml:space="preserve">agation du virus ne devrait pas </w:t>
      </w:r>
      <w:r w:rsidR="00CF1276">
        <w:rPr>
          <w:rFonts w:asciiTheme="majorBidi" w:hAnsiTheme="majorBidi" w:cstheme="majorBidi"/>
          <w:bCs/>
          <w:color w:val="000000" w:themeColor="text1"/>
        </w:rPr>
        <w:t xml:space="preserve">s’arrêter pour </w:t>
      </w:r>
      <w:r w:rsidR="00CF1276" w:rsidRPr="00861A48">
        <w:rPr>
          <w:rFonts w:asciiTheme="majorBidi" w:hAnsiTheme="majorBidi" w:cstheme="majorBidi"/>
          <w:bCs/>
          <w:color w:val="000000" w:themeColor="text1"/>
        </w:rPr>
        <w:t>autant</w:t>
      </w:r>
      <w:r w:rsidR="00D5019C" w:rsidRPr="00861A48">
        <w:rPr>
          <w:rFonts w:asciiTheme="majorBidi" w:hAnsiTheme="majorBidi" w:cstheme="majorBidi"/>
          <w:bCs/>
          <w:color w:val="000000" w:themeColor="text1"/>
        </w:rPr>
        <w:t>. Elle</w:t>
      </w:r>
      <w:r w:rsidR="00C402CD">
        <w:rPr>
          <w:rFonts w:asciiTheme="majorBidi" w:hAnsiTheme="majorBidi" w:cstheme="majorBidi"/>
          <w:bCs/>
          <w:color w:val="000000" w:themeColor="text1"/>
        </w:rPr>
        <w:t xml:space="preserve"> </w:t>
      </w:r>
      <w:r w:rsidR="00CF1276">
        <w:rPr>
          <w:rFonts w:asciiTheme="majorBidi" w:hAnsiTheme="majorBidi" w:cstheme="majorBidi"/>
          <w:bCs/>
          <w:color w:val="000000" w:themeColor="text1"/>
        </w:rPr>
        <w:t>pourrait être favorisée</w:t>
      </w:r>
      <w:r w:rsidR="00D853EE">
        <w:rPr>
          <w:rFonts w:asciiTheme="majorBidi" w:hAnsiTheme="majorBidi" w:cstheme="majorBidi"/>
          <w:bCs/>
          <w:color w:val="000000" w:themeColor="text1"/>
        </w:rPr>
        <w:t>,</w:t>
      </w:r>
      <w:r w:rsidR="00CF1276">
        <w:rPr>
          <w:rFonts w:asciiTheme="majorBidi" w:hAnsiTheme="majorBidi" w:cstheme="majorBidi"/>
          <w:bCs/>
          <w:color w:val="000000" w:themeColor="text1"/>
        </w:rPr>
        <w:t xml:space="preserve"> en cas de non-respect des règles de protection édictées par les autorités sanitaires et, en particulier</w:t>
      </w:r>
      <w:r w:rsidR="00D853EE">
        <w:rPr>
          <w:rFonts w:asciiTheme="majorBidi" w:hAnsiTheme="majorBidi" w:cstheme="majorBidi"/>
          <w:bCs/>
          <w:color w:val="000000" w:themeColor="text1"/>
        </w:rPr>
        <w:t>,</w:t>
      </w:r>
      <w:r w:rsidR="00CF1276">
        <w:rPr>
          <w:rFonts w:asciiTheme="majorBidi" w:hAnsiTheme="majorBidi" w:cstheme="majorBidi"/>
          <w:bCs/>
          <w:color w:val="000000" w:themeColor="text1"/>
        </w:rPr>
        <w:t xml:space="preserve"> dans les lieux </w:t>
      </w:r>
      <w:r>
        <w:rPr>
          <w:rFonts w:asciiTheme="majorBidi" w:hAnsiTheme="majorBidi" w:cstheme="majorBidi"/>
          <w:bCs/>
          <w:color w:val="000000" w:themeColor="text1"/>
        </w:rPr>
        <w:t>où l’activité économique multiplie les contacts parmi la population</w:t>
      </w:r>
      <w:r w:rsidR="00D853EE">
        <w:rPr>
          <w:rFonts w:asciiTheme="majorBidi" w:hAnsiTheme="majorBidi" w:cstheme="majorBidi"/>
          <w:bCs/>
          <w:color w:val="000000" w:themeColor="text1"/>
        </w:rPr>
        <w:t>,</w:t>
      </w:r>
      <w:r w:rsidR="00C402CD">
        <w:rPr>
          <w:rFonts w:asciiTheme="majorBidi" w:hAnsiTheme="majorBidi" w:cstheme="majorBidi"/>
          <w:bCs/>
          <w:color w:val="000000" w:themeColor="text1"/>
        </w:rPr>
        <w:t xml:space="preserve"> </w:t>
      </w:r>
      <w:r w:rsidRPr="00861A48">
        <w:rPr>
          <w:rFonts w:asciiTheme="majorBidi" w:hAnsiTheme="majorBidi" w:cstheme="majorBidi"/>
          <w:bCs/>
          <w:color w:val="000000" w:themeColor="text1"/>
        </w:rPr>
        <w:t xml:space="preserve">ou </w:t>
      </w:r>
      <w:r w:rsidR="00CF1276" w:rsidRPr="00861A48">
        <w:rPr>
          <w:rFonts w:asciiTheme="majorBidi" w:hAnsiTheme="majorBidi" w:cstheme="majorBidi"/>
          <w:bCs/>
          <w:color w:val="000000" w:themeColor="text1"/>
        </w:rPr>
        <w:t xml:space="preserve">encore dans les strates d’habitat où prévaut une promiscuité de la vie quotidienne </w:t>
      </w:r>
      <w:r w:rsidR="00311F0A" w:rsidRPr="00861A48">
        <w:rPr>
          <w:rFonts w:asciiTheme="majorBidi" w:hAnsiTheme="majorBidi" w:cstheme="majorBidi"/>
          <w:bCs/>
          <w:color w:val="000000" w:themeColor="text1"/>
        </w:rPr>
        <w:t xml:space="preserve">dans </w:t>
      </w:r>
      <w:r w:rsidR="00CF1276" w:rsidRPr="00861A48">
        <w:rPr>
          <w:rFonts w:asciiTheme="majorBidi" w:hAnsiTheme="majorBidi" w:cstheme="majorBidi"/>
          <w:bCs/>
          <w:color w:val="000000" w:themeColor="text1"/>
        </w:rPr>
        <w:t xml:space="preserve">des </w:t>
      </w:r>
      <w:r w:rsidRPr="00861A48">
        <w:rPr>
          <w:rFonts w:asciiTheme="majorBidi" w:hAnsiTheme="majorBidi" w:cstheme="majorBidi"/>
          <w:bCs/>
          <w:color w:val="000000" w:themeColor="text1"/>
        </w:rPr>
        <w:t xml:space="preserve">conditions </w:t>
      </w:r>
      <w:r w:rsidR="00311F0A" w:rsidRPr="00861A48">
        <w:rPr>
          <w:rFonts w:asciiTheme="majorBidi" w:hAnsiTheme="majorBidi" w:cstheme="majorBidi"/>
          <w:bCs/>
          <w:color w:val="000000" w:themeColor="text1"/>
        </w:rPr>
        <w:t xml:space="preserve">précaires </w:t>
      </w:r>
      <w:r w:rsidRPr="00861A48">
        <w:rPr>
          <w:rFonts w:asciiTheme="majorBidi" w:hAnsiTheme="majorBidi" w:cstheme="majorBidi"/>
          <w:bCs/>
          <w:color w:val="000000" w:themeColor="text1"/>
        </w:rPr>
        <w:t>de logement</w:t>
      </w:r>
      <w:r>
        <w:rPr>
          <w:rFonts w:asciiTheme="majorBidi" w:hAnsiTheme="majorBidi" w:cstheme="majorBidi"/>
          <w:bCs/>
          <w:color w:val="000000" w:themeColor="text1"/>
        </w:rPr>
        <w:t xml:space="preserve">. </w:t>
      </w:r>
    </w:p>
    <w:p w:rsidR="00D15AA1" w:rsidRDefault="00D15AA1" w:rsidP="00311F0A">
      <w:pPr>
        <w:pStyle w:val="Paragraphedeliste"/>
        <w:spacing w:before="240" w:after="120" w:line="264" w:lineRule="auto"/>
        <w:ind w:left="0"/>
        <w:contextualSpacing w:val="0"/>
        <w:jc w:val="both"/>
        <w:rPr>
          <w:rFonts w:asciiTheme="majorBidi" w:hAnsiTheme="majorBidi" w:cstheme="majorBidi"/>
          <w:bCs/>
        </w:rPr>
      </w:pPr>
      <w:r>
        <w:rPr>
          <w:rFonts w:asciiTheme="majorBidi" w:hAnsiTheme="majorBidi" w:cstheme="majorBidi"/>
          <w:bCs/>
          <w:color w:val="000000" w:themeColor="text1"/>
        </w:rPr>
        <w:t xml:space="preserve">Aussi, avons-nous jugé utile de </w:t>
      </w:r>
      <w:r>
        <w:rPr>
          <w:rFonts w:asciiTheme="majorBidi" w:hAnsiTheme="majorBidi" w:cstheme="majorBidi"/>
          <w:bCs/>
        </w:rPr>
        <w:t xml:space="preserve">procéder à une </w:t>
      </w:r>
      <w:r w:rsidR="00311F0A" w:rsidRPr="00861A48">
        <w:rPr>
          <w:rFonts w:asciiTheme="majorBidi" w:hAnsiTheme="majorBidi" w:cstheme="majorBidi"/>
          <w:bCs/>
        </w:rPr>
        <w:t>analyse</w:t>
      </w:r>
      <w:bookmarkStart w:id="0" w:name="_GoBack"/>
      <w:bookmarkEnd w:id="0"/>
      <w:r>
        <w:rPr>
          <w:rFonts w:asciiTheme="majorBidi" w:hAnsiTheme="majorBidi" w:cstheme="majorBidi"/>
          <w:bCs/>
        </w:rPr>
        <w:t xml:space="preserve"> cartographique du potentiel de </w:t>
      </w:r>
      <w:r w:rsidR="00CF1276">
        <w:rPr>
          <w:rFonts w:asciiTheme="majorBidi" w:hAnsiTheme="majorBidi" w:cstheme="majorBidi"/>
          <w:bCs/>
        </w:rPr>
        <w:t>risques</w:t>
      </w:r>
      <w:r w:rsidR="00D853EE">
        <w:rPr>
          <w:rFonts w:asciiTheme="majorBidi" w:hAnsiTheme="majorBidi" w:cstheme="majorBidi"/>
          <w:bCs/>
        </w:rPr>
        <w:t xml:space="preserve"> lié</w:t>
      </w:r>
      <w:r w:rsidR="00311F0A">
        <w:rPr>
          <w:rFonts w:asciiTheme="majorBidi" w:hAnsiTheme="majorBidi" w:cstheme="majorBidi"/>
          <w:bCs/>
        </w:rPr>
        <w:t>s</w:t>
      </w:r>
      <w:r w:rsidR="00D853EE">
        <w:rPr>
          <w:rFonts w:asciiTheme="majorBidi" w:hAnsiTheme="majorBidi" w:cstheme="majorBidi"/>
          <w:bCs/>
        </w:rPr>
        <w:t xml:space="preserve"> à la prévalence de </w:t>
      </w:r>
      <w:r w:rsidR="00D853EE" w:rsidRPr="00D853EE">
        <w:rPr>
          <w:rFonts w:asciiTheme="majorBidi" w:hAnsiTheme="majorBidi" w:cstheme="majorBidi"/>
          <w:bCs/>
        </w:rPr>
        <w:t>c</w:t>
      </w:r>
      <w:r w:rsidRPr="00D853EE">
        <w:rPr>
          <w:rFonts w:asciiTheme="majorBidi" w:hAnsiTheme="majorBidi" w:cstheme="majorBidi"/>
          <w:bCs/>
        </w:rPr>
        <w:t>es</w:t>
      </w:r>
      <w:r>
        <w:rPr>
          <w:rFonts w:asciiTheme="majorBidi" w:hAnsiTheme="majorBidi" w:cstheme="majorBidi"/>
          <w:bCs/>
        </w:rPr>
        <w:t xml:space="preserve"> facteurs </w:t>
      </w:r>
      <w:r w:rsidR="00D853EE">
        <w:rPr>
          <w:rFonts w:asciiTheme="majorBidi" w:hAnsiTheme="majorBidi" w:cstheme="majorBidi"/>
          <w:bCs/>
        </w:rPr>
        <w:t xml:space="preserve">favorisants </w:t>
      </w:r>
      <w:r>
        <w:rPr>
          <w:rFonts w:asciiTheme="majorBidi" w:hAnsiTheme="majorBidi" w:cstheme="majorBidi"/>
          <w:bCs/>
        </w:rPr>
        <w:t xml:space="preserve">par région, province et grandes villes et, à titre illustratif, à l’échelle des strates d’habitat pour la ville de Casablanca. </w:t>
      </w:r>
    </w:p>
    <w:p w:rsidR="00D15AA1" w:rsidRDefault="00D15AA1" w:rsidP="00D15AA1">
      <w:pPr>
        <w:pStyle w:val="Paragraphedeliste"/>
        <w:spacing w:before="240" w:after="120" w:line="264" w:lineRule="auto"/>
        <w:ind w:left="0"/>
        <w:contextualSpacing w:val="0"/>
        <w:jc w:val="both"/>
        <w:rPr>
          <w:rFonts w:asciiTheme="majorBidi" w:hAnsiTheme="majorBidi" w:cstheme="majorBidi"/>
          <w:bCs/>
          <w:color w:val="000000" w:themeColor="text1"/>
        </w:rPr>
      </w:pPr>
      <w:r>
        <w:rPr>
          <w:rFonts w:asciiTheme="majorBidi" w:hAnsiTheme="majorBidi" w:cstheme="majorBidi"/>
          <w:bCs/>
        </w:rPr>
        <w:t>Il reste entendu que ce travail pourrait être dupliqué dans d’autres villes et, comme nous l’espérons, être utile pour une meilleure affectation des ressources logistiques et humaines dans la  lutte sanitaire que mène notre pays contre l’extension de la pandémie</w:t>
      </w:r>
      <w:r w:rsidR="00D853EE">
        <w:rPr>
          <w:rFonts w:asciiTheme="majorBidi" w:hAnsiTheme="majorBidi" w:cstheme="majorBidi"/>
          <w:bCs/>
        </w:rPr>
        <w:t xml:space="preserve"> (maitrise de la mobilité, dépistage, contrôle sanitaire …)</w:t>
      </w:r>
      <w:r>
        <w:rPr>
          <w:rFonts w:asciiTheme="majorBidi" w:hAnsiTheme="majorBidi" w:cstheme="majorBidi"/>
          <w:bCs/>
        </w:rPr>
        <w:t xml:space="preserve">. </w:t>
      </w:r>
    </w:p>
    <w:p w:rsidR="00F773C0" w:rsidRDefault="001B593D" w:rsidP="00F773C0">
      <w:pPr>
        <w:pStyle w:val="Paragraphedeliste"/>
        <w:spacing w:before="240" w:after="120" w:line="264" w:lineRule="auto"/>
        <w:ind w:left="0"/>
        <w:contextualSpacing w:val="0"/>
        <w:jc w:val="both"/>
        <w:rPr>
          <w:rFonts w:asciiTheme="majorBidi" w:hAnsiTheme="majorBidi" w:cstheme="majorBidi"/>
          <w:b/>
          <w:color w:val="0070C0"/>
        </w:rPr>
      </w:pPr>
      <w:r>
        <w:rPr>
          <w:rFonts w:asciiTheme="majorBidi" w:hAnsiTheme="majorBidi" w:cstheme="majorBidi"/>
          <w:b/>
          <w:color w:val="0070C0"/>
        </w:rPr>
        <w:t xml:space="preserve">A- </w:t>
      </w:r>
      <w:r w:rsidR="00210320" w:rsidRPr="00210320">
        <w:rPr>
          <w:rFonts w:asciiTheme="majorBidi" w:hAnsiTheme="majorBidi" w:cstheme="majorBidi"/>
          <w:b/>
          <w:color w:val="0070C0"/>
        </w:rPr>
        <w:t>Risques liés à la forte densité urbaine</w:t>
      </w:r>
    </w:p>
    <w:p w:rsidR="008A485C" w:rsidRDefault="008A485C" w:rsidP="008A485C">
      <w:pPr>
        <w:pStyle w:val="Paragraphedeliste"/>
        <w:spacing w:before="240" w:after="120" w:line="264" w:lineRule="auto"/>
        <w:ind w:left="0"/>
        <w:contextualSpacing w:val="0"/>
        <w:jc w:val="both"/>
        <w:rPr>
          <w:rFonts w:asciiTheme="majorBidi" w:hAnsiTheme="majorBidi" w:cstheme="majorBidi"/>
          <w:bCs/>
        </w:rPr>
      </w:pPr>
      <w:r w:rsidRPr="00F773C0">
        <w:rPr>
          <w:rFonts w:asciiTheme="majorBidi" w:hAnsiTheme="majorBidi" w:cstheme="majorBidi"/>
          <w:bCs/>
        </w:rPr>
        <w:t>Les statistiques</w:t>
      </w:r>
      <w:r>
        <w:rPr>
          <w:rFonts w:asciiTheme="majorBidi" w:hAnsiTheme="majorBidi" w:cstheme="majorBidi"/>
          <w:bCs/>
        </w:rPr>
        <w:t xml:space="preserve"> sanitaires du</w:t>
      </w:r>
      <w:r w:rsidRPr="00983203">
        <w:rPr>
          <w:rFonts w:asciiTheme="majorBidi" w:hAnsiTheme="majorBidi" w:cstheme="majorBidi"/>
          <w:bCs/>
        </w:rPr>
        <w:t>2</w:t>
      </w:r>
      <w:r>
        <w:rPr>
          <w:rFonts w:asciiTheme="majorBidi" w:hAnsiTheme="majorBidi" w:cstheme="majorBidi"/>
          <w:bCs/>
        </w:rPr>
        <w:t xml:space="preserve">4 mai montrent que sur les </w:t>
      </w:r>
      <w:r w:rsidRPr="00983203">
        <w:rPr>
          <w:rFonts w:asciiTheme="majorBidi" w:hAnsiTheme="majorBidi" w:cstheme="majorBidi"/>
          <w:bCs/>
        </w:rPr>
        <w:t>7</w:t>
      </w:r>
      <w:r>
        <w:rPr>
          <w:rFonts w:asciiTheme="majorBidi" w:hAnsiTheme="majorBidi" w:cstheme="majorBidi"/>
          <w:bCs/>
        </w:rPr>
        <w:t>532</w:t>
      </w:r>
      <w:r w:rsidRPr="00983203">
        <w:rPr>
          <w:rFonts w:asciiTheme="majorBidi" w:hAnsiTheme="majorBidi" w:cstheme="majorBidi"/>
          <w:bCs/>
        </w:rPr>
        <w:t xml:space="preserve"> personnes atteintes</w:t>
      </w:r>
      <w:r>
        <w:rPr>
          <w:rFonts w:asciiTheme="majorBidi" w:hAnsiTheme="majorBidi" w:cstheme="majorBidi"/>
          <w:bCs/>
        </w:rPr>
        <w:t xml:space="preserve"> (confirmées positives)</w:t>
      </w:r>
      <w:r w:rsidRPr="00983203">
        <w:rPr>
          <w:rFonts w:asciiTheme="majorBidi" w:hAnsiTheme="majorBidi" w:cstheme="majorBidi"/>
          <w:bCs/>
        </w:rPr>
        <w:t xml:space="preserve">, </w:t>
      </w:r>
      <w:r>
        <w:rPr>
          <w:rFonts w:asciiTheme="majorBidi" w:hAnsiTheme="majorBidi" w:cstheme="majorBidi"/>
          <w:bCs/>
        </w:rPr>
        <w:t>86% proviennent de</w:t>
      </w:r>
      <w:r w:rsidRPr="00983203">
        <w:rPr>
          <w:rFonts w:asciiTheme="majorBidi" w:hAnsiTheme="majorBidi" w:cstheme="majorBidi"/>
          <w:bCs/>
        </w:rPr>
        <w:t xml:space="preserve">s </w:t>
      </w:r>
      <w:r>
        <w:rPr>
          <w:rFonts w:asciiTheme="majorBidi" w:hAnsiTheme="majorBidi" w:cstheme="majorBidi"/>
          <w:bCs/>
        </w:rPr>
        <w:t xml:space="preserve">cinq </w:t>
      </w:r>
      <w:r w:rsidRPr="00983203">
        <w:rPr>
          <w:rFonts w:asciiTheme="majorBidi" w:hAnsiTheme="majorBidi" w:cstheme="majorBidi"/>
          <w:bCs/>
        </w:rPr>
        <w:t xml:space="preserve">régions </w:t>
      </w:r>
      <w:r>
        <w:rPr>
          <w:rFonts w:asciiTheme="majorBidi" w:hAnsiTheme="majorBidi" w:cstheme="majorBidi"/>
          <w:bCs/>
        </w:rPr>
        <w:t>l</w:t>
      </w:r>
      <w:r w:rsidRPr="00983203">
        <w:rPr>
          <w:rFonts w:asciiTheme="majorBidi" w:hAnsiTheme="majorBidi" w:cstheme="majorBidi"/>
          <w:bCs/>
        </w:rPr>
        <w:t>es plus dense</w:t>
      </w:r>
      <w:r>
        <w:rPr>
          <w:rFonts w:asciiTheme="majorBidi" w:hAnsiTheme="majorBidi" w:cstheme="majorBidi"/>
          <w:bCs/>
        </w:rPr>
        <w:t>s</w:t>
      </w:r>
      <w:r w:rsidRPr="00983203">
        <w:rPr>
          <w:rFonts w:asciiTheme="majorBidi" w:hAnsiTheme="majorBidi" w:cstheme="majorBidi"/>
          <w:bCs/>
        </w:rPr>
        <w:t xml:space="preserve"> du Maroc</w:t>
      </w:r>
      <w:r>
        <w:rPr>
          <w:rFonts w:asciiTheme="majorBidi" w:hAnsiTheme="majorBidi" w:cstheme="majorBidi"/>
          <w:bCs/>
        </w:rPr>
        <w:t xml:space="preserve">, soit près de neuf cas sur dix. Il s'agit des régions de </w:t>
      </w:r>
      <w:r w:rsidRPr="0056746F">
        <w:rPr>
          <w:rFonts w:asciiTheme="majorBidi" w:hAnsiTheme="majorBidi" w:cstheme="majorBidi"/>
          <w:bCs/>
        </w:rPr>
        <w:t>Casablanca-Settat</w:t>
      </w:r>
      <w:r>
        <w:rPr>
          <w:rFonts w:asciiTheme="majorBidi" w:hAnsiTheme="majorBidi" w:cstheme="majorBidi"/>
          <w:bCs/>
        </w:rPr>
        <w:t xml:space="preserve"> (32,6%), </w:t>
      </w:r>
      <w:r w:rsidRPr="001B593D">
        <w:rPr>
          <w:rFonts w:asciiTheme="majorBidi" w:hAnsiTheme="majorBidi" w:cstheme="majorBidi"/>
          <w:bCs/>
        </w:rPr>
        <w:t>Marrakech-Safi</w:t>
      </w:r>
      <w:r>
        <w:rPr>
          <w:rFonts w:asciiTheme="majorBidi" w:hAnsiTheme="majorBidi" w:cstheme="majorBidi"/>
          <w:bCs/>
        </w:rPr>
        <w:t xml:space="preserve">(17,6%), </w:t>
      </w:r>
      <w:r w:rsidRPr="0056746F">
        <w:rPr>
          <w:rFonts w:asciiTheme="majorBidi" w:hAnsiTheme="majorBidi" w:cstheme="majorBidi"/>
          <w:bCs/>
        </w:rPr>
        <w:t>Tanger-Tétouan-Al Hoceïma</w:t>
      </w:r>
      <w:r>
        <w:rPr>
          <w:rFonts w:asciiTheme="majorBidi" w:hAnsiTheme="majorBidi" w:cstheme="majorBidi"/>
          <w:bCs/>
        </w:rPr>
        <w:t xml:space="preserve"> (13,8%), </w:t>
      </w:r>
      <w:r w:rsidRPr="0056746F">
        <w:rPr>
          <w:rFonts w:asciiTheme="majorBidi" w:hAnsiTheme="majorBidi" w:cstheme="majorBidi"/>
          <w:bCs/>
        </w:rPr>
        <w:t>Fès-Meknès</w:t>
      </w:r>
      <w:r>
        <w:rPr>
          <w:rFonts w:asciiTheme="majorBidi" w:hAnsiTheme="majorBidi" w:cstheme="majorBidi"/>
          <w:bCs/>
        </w:rPr>
        <w:t xml:space="preserve"> (13,2%) et </w:t>
      </w:r>
      <w:r w:rsidRPr="0056746F">
        <w:rPr>
          <w:rFonts w:asciiTheme="majorBidi" w:hAnsiTheme="majorBidi" w:cstheme="majorBidi"/>
          <w:bCs/>
        </w:rPr>
        <w:t>Rabat-Salé-Kénitra</w:t>
      </w:r>
      <w:r>
        <w:rPr>
          <w:rFonts w:asciiTheme="majorBidi" w:hAnsiTheme="majorBidi" w:cstheme="majorBidi"/>
          <w:bCs/>
        </w:rPr>
        <w:t xml:space="preserve"> (9,2%).</w:t>
      </w:r>
    </w:p>
    <w:p w:rsidR="00030D4F" w:rsidRDefault="00030D4F" w:rsidP="00FE13E8">
      <w:pPr>
        <w:pStyle w:val="Paragraphedeliste"/>
        <w:spacing w:before="120" w:after="120" w:line="264" w:lineRule="auto"/>
        <w:ind w:left="0"/>
        <w:contextualSpacing w:val="0"/>
        <w:jc w:val="both"/>
        <w:rPr>
          <w:rFonts w:asciiTheme="majorBidi" w:hAnsiTheme="majorBidi" w:cstheme="majorBidi"/>
          <w:bCs/>
        </w:rPr>
      </w:pPr>
      <w:r>
        <w:rPr>
          <w:rFonts w:asciiTheme="majorBidi" w:hAnsiTheme="majorBidi" w:cstheme="majorBidi"/>
          <w:bCs/>
        </w:rPr>
        <w:t xml:space="preserve">Par ailleurs, c'est aussi ces régions qui affichent des concentrations de leurs populations actives occupées dans le secteur industriel les plus élevées (supérieures à 12%). Or ces activités se trouvent principalement dans les zones urbaines qui </w:t>
      </w:r>
      <w:r w:rsidRPr="00210320">
        <w:rPr>
          <w:rFonts w:asciiTheme="majorBidi" w:hAnsiTheme="majorBidi" w:cstheme="majorBidi"/>
          <w:bCs/>
        </w:rPr>
        <w:t xml:space="preserve">se caractérisent </w:t>
      </w:r>
      <w:r>
        <w:rPr>
          <w:rFonts w:asciiTheme="majorBidi" w:hAnsiTheme="majorBidi" w:cstheme="majorBidi"/>
          <w:bCs/>
        </w:rPr>
        <w:t>également</w:t>
      </w:r>
      <w:r w:rsidRPr="00210320">
        <w:rPr>
          <w:rFonts w:asciiTheme="majorBidi" w:hAnsiTheme="majorBidi" w:cstheme="majorBidi"/>
          <w:bCs/>
        </w:rPr>
        <w:t xml:space="preserve"> par </w:t>
      </w:r>
      <w:r>
        <w:rPr>
          <w:rFonts w:asciiTheme="majorBidi" w:hAnsiTheme="majorBidi" w:cstheme="majorBidi"/>
          <w:bCs/>
        </w:rPr>
        <w:t xml:space="preserve">de </w:t>
      </w:r>
      <w:r w:rsidRPr="00210320">
        <w:rPr>
          <w:rFonts w:asciiTheme="majorBidi" w:hAnsiTheme="majorBidi" w:cstheme="majorBidi"/>
          <w:bCs/>
        </w:rPr>
        <w:t>forte</w:t>
      </w:r>
      <w:r>
        <w:rPr>
          <w:rFonts w:asciiTheme="majorBidi" w:hAnsiTheme="majorBidi" w:cstheme="majorBidi"/>
          <w:bCs/>
        </w:rPr>
        <w:t>s</w:t>
      </w:r>
      <w:r w:rsidRPr="00210320">
        <w:rPr>
          <w:rFonts w:asciiTheme="majorBidi" w:hAnsiTheme="majorBidi" w:cstheme="majorBidi"/>
          <w:bCs/>
        </w:rPr>
        <w:t xml:space="preserve"> densité</w:t>
      </w:r>
      <w:r>
        <w:rPr>
          <w:rFonts w:asciiTheme="majorBidi" w:hAnsiTheme="majorBidi" w:cstheme="majorBidi"/>
          <w:bCs/>
        </w:rPr>
        <w:t xml:space="preserve">s démographiques. Toutes choses égales par ailleurs, cette caractéristique permet une transmission du </w:t>
      </w:r>
      <w:r w:rsidRPr="00210320">
        <w:rPr>
          <w:rFonts w:asciiTheme="majorBidi" w:hAnsiTheme="majorBidi" w:cstheme="majorBidi"/>
          <w:bCs/>
        </w:rPr>
        <w:t xml:space="preserve">virus </w:t>
      </w:r>
      <w:r>
        <w:rPr>
          <w:rFonts w:asciiTheme="majorBidi" w:hAnsiTheme="majorBidi" w:cstheme="majorBidi"/>
          <w:bCs/>
        </w:rPr>
        <w:t>plus</w:t>
      </w:r>
      <w:r w:rsidRPr="00210320">
        <w:rPr>
          <w:rFonts w:asciiTheme="majorBidi" w:hAnsiTheme="majorBidi" w:cstheme="majorBidi"/>
          <w:bCs/>
        </w:rPr>
        <w:t xml:space="preserve"> rapide du fait des déplacements et</w:t>
      </w:r>
      <w:r>
        <w:rPr>
          <w:rFonts w:asciiTheme="majorBidi" w:hAnsiTheme="majorBidi" w:cstheme="majorBidi"/>
          <w:bCs/>
        </w:rPr>
        <w:t xml:space="preserve"> des </w:t>
      </w:r>
      <w:r w:rsidRPr="00210320">
        <w:rPr>
          <w:rFonts w:asciiTheme="majorBidi" w:hAnsiTheme="majorBidi" w:cstheme="majorBidi"/>
          <w:bCs/>
        </w:rPr>
        <w:t>contacts fréquents entre les personnes</w:t>
      </w:r>
      <w:r>
        <w:rPr>
          <w:rStyle w:val="Appelnotedebasdep"/>
          <w:rFonts w:asciiTheme="majorBidi" w:hAnsiTheme="majorBidi" w:cstheme="majorBidi"/>
          <w:bCs/>
        </w:rPr>
        <w:footnoteReference w:id="2"/>
      </w:r>
      <w:r w:rsidRPr="00210320">
        <w:rPr>
          <w:rFonts w:asciiTheme="majorBidi" w:hAnsiTheme="majorBidi" w:cstheme="majorBidi"/>
          <w:bCs/>
        </w:rPr>
        <w:t xml:space="preserve">. </w:t>
      </w:r>
      <w:r>
        <w:rPr>
          <w:rFonts w:asciiTheme="majorBidi" w:hAnsiTheme="majorBidi" w:cstheme="majorBidi"/>
          <w:bCs/>
        </w:rPr>
        <w:t>Autrement</w:t>
      </w:r>
      <w:r w:rsidR="00C402CD">
        <w:rPr>
          <w:rFonts w:asciiTheme="majorBidi" w:hAnsiTheme="majorBidi" w:cstheme="majorBidi"/>
          <w:bCs/>
        </w:rPr>
        <w:t xml:space="preserve"> </w:t>
      </w:r>
      <w:r>
        <w:rPr>
          <w:rFonts w:asciiTheme="majorBidi" w:hAnsiTheme="majorBidi" w:cstheme="majorBidi"/>
          <w:bCs/>
        </w:rPr>
        <w:t>dit</w:t>
      </w:r>
      <w:r w:rsidRPr="00210320">
        <w:rPr>
          <w:rFonts w:asciiTheme="majorBidi" w:hAnsiTheme="majorBidi" w:cstheme="majorBidi"/>
          <w:bCs/>
        </w:rPr>
        <w:t xml:space="preserve">, plus les régions sont urbanisées, plus </w:t>
      </w:r>
      <w:r>
        <w:rPr>
          <w:rFonts w:asciiTheme="majorBidi" w:hAnsiTheme="majorBidi" w:cstheme="majorBidi"/>
          <w:bCs/>
        </w:rPr>
        <w:t xml:space="preserve">les </w:t>
      </w:r>
      <w:r w:rsidRPr="00210320">
        <w:rPr>
          <w:rFonts w:asciiTheme="majorBidi" w:hAnsiTheme="majorBidi" w:cstheme="majorBidi"/>
          <w:bCs/>
        </w:rPr>
        <w:t>défis logistiques à même d’informer, d</w:t>
      </w:r>
      <w:r>
        <w:rPr>
          <w:rFonts w:asciiTheme="majorBidi" w:hAnsiTheme="majorBidi" w:cstheme="majorBidi"/>
          <w:bCs/>
        </w:rPr>
        <w:t xml:space="preserve">’encadrer </w:t>
      </w:r>
      <w:r w:rsidRPr="00210320">
        <w:rPr>
          <w:rFonts w:asciiTheme="majorBidi" w:hAnsiTheme="majorBidi" w:cstheme="majorBidi"/>
          <w:bCs/>
        </w:rPr>
        <w:t>et, si possible, d’isoler le plus grand nombre de personnes à risque</w:t>
      </w:r>
      <w:r>
        <w:rPr>
          <w:rFonts w:asciiTheme="majorBidi" w:hAnsiTheme="majorBidi" w:cstheme="majorBidi"/>
          <w:bCs/>
        </w:rPr>
        <w:t xml:space="preserve"> seraient importants</w:t>
      </w:r>
      <w:r w:rsidRPr="00210320">
        <w:rPr>
          <w:rFonts w:asciiTheme="majorBidi" w:hAnsiTheme="majorBidi" w:cstheme="majorBidi"/>
          <w:bCs/>
        </w:rPr>
        <w:t>.</w:t>
      </w:r>
    </w:p>
    <w:p w:rsidR="00C27A31" w:rsidRDefault="006F540F" w:rsidP="006F540F">
      <w:pPr>
        <w:spacing w:before="120" w:after="120"/>
        <w:jc w:val="both"/>
        <w:rPr>
          <w:rFonts w:asciiTheme="majorBidi" w:hAnsiTheme="majorBidi" w:cstheme="majorBidi"/>
          <w:bCs/>
        </w:rPr>
      </w:pPr>
      <w:r>
        <w:rPr>
          <w:rFonts w:asciiTheme="majorBidi" w:hAnsiTheme="majorBidi" w:cstheme="majorBidi"/>
          <w:bCs/>
        </w:rPr>
        <w:t xml:space="preserve">Si au niveau national, la densité urbaine s'élève à </w:t>
      </w:r>
      <w:r w:rsidRPr="00742D9D">
        <w:rPr>
          <w:rFonts w:asciiTheme="majorBidi" w:hAnsiTheme="majorBidi" w:cstheme="majorBidi"/>
          <w:bCs/>
        </w:rPr>
        <w:t xml:space="preserve">1986 </w:t>
      </w:r>
      <w:r w:rsidRPr="00210320">
        <w:rPr>
          <w:rFonts w:asciiTheme="majorBidi" w:hAnsiTheme="majorBidi" w:cstheme="majorBidi"/>
          <w:bCs/>
        </w:rPr>
        <w:t>habitants au kilomètre carré</w:t>
      </w:r>
      <w:r>
        <w:rPr>
          <w:rFonts w:asciiTheme="majorBidi" w:hAnsiTheme="majorBidi" w:cstheme="majorBidi"/>
          <w:bCs/>
        </w:rPr>
        <w:t xml:space="preserve">, de grands écarts persistent entre </w:t>
      </w:r>
      <w:r w:rsidRPr="00210320">
        <w:rPr>
          <w:rFonts w:asciiTheme="majorBidi" w:hAnsiTheme="majorBidi" w:cstheme="majorBidi"/>
          <w:bCs/>
        </w:rPr>
        <w:t>région</w:t>
      </w:r>
      <w:r>
        <w:rPr>
          <w:rFonts w:asciiTheme="majorBidi" w:hAnsiTheme="majorBidi" w:cstheme="majorBidi"/>
          <w:bCs/>
        </w:rPr>
        <w:t>s. C</w:t>
      </w:r>
      <w:r w:rsidR="00C27A31" w:rsidRPr="00210320">
        <w:rPr>
          <w:rFonts w:asciiTheme="majorBidi" w:hAnsiTheme="majorBidi" w:cstheme="majorBidi"/>
          <w:bCs/>
        </w:rPr>
        <w:t xml:space="preserve">’est </w:t>
      </w:r>
      <w:r w:rsidR="00C27A31">
        <w:rPr>
          <w:rFonts w:asciiTheme="majorBidi" w:hAnsiTheme="majorBidi" w:cstheme="majorBidi"/>
          <w:bCs/>
        </w:rPr>
        <w:t xml:space="preserve">la région de </w:t>
      </w:r>
      <w:r w:rsidR="00C27A31" w:rsidRPr="00210320">
        <w:rPr>
          <w:rFonts w:asciiTheme="majorBidi" w:eastAsia="Times New Roman" w:hAnsiTheme="majorBidi" w:cstheme="majorBidi"/>
          <w:color w:val="000000"/>
          <w:lang w:eastAsia="fr-FR"/>
        </w:rPr>
        <w:t xml:space="preserve">Rabat-Salé-Kénitra qui </w:t>
      </w:r>
      <w:r w:rsidR="00C27A31" w:rsidRPr="00210320">
        <w:rPr>
          <w:rFonts w:asciiTheme="majorBidi" w:hAnsiTheme="majorBidi" w:cstheme="majorBidi"/>
          <w:bCs/>
        </w:rPr>
        <w:t>affiche la densité urbaine la plus élevée avec 4007 habitants au kilomètre carré, suivie</w:t>
      </w:r>
      <w:r w:rsidR="00C27A31" w:rsidRPr="00210320">
        <w:rPr>
          <w:rFonts w:asciiTheme="majorBidi" w:eastAsia="Times New Roman" w:hAnsiTheme="majorBidi" w:cstheme="majorBidi"/>
          <w:color w:val="000000"/>
          <w:lang w:eastAsia="fr-FR"/>
        </w:rPr>
        <w:t xml:space="preserve"> des régions de </w:t>
      </w:r>
      <w:r w:rsidR="00C27A31" w:rsidRPr="00210320">
        <w:rPr>
          <w:rFonts w:asciiTheme="majorBidi" w:hAnsiTheme="majorBidi" w:cstheme="majorBidi"/>
          <w:bCs/>
        </w:rPr>
        <w:t xml:space="preserve">Casablanca-Settat, </w:t>
      </w:r>
      <w:r w:rsidR="00C27A31" w:rsidRPr="00210320">
        <w:rPr>
          <w:rFonts w:asciiTheme="majorBidi" w:eastAsia="Times New Roman" w:hAnsiTheme="majorBidi" w:cstheme="majorBidi"/>
          <w:color w:val="000000"/>
          <w:lang w:eastAsia="fr-FR"/>
        </w:rPr>
        <w:t>Béni Mellal-Khénifra et Fès-Meknès</w:t>
      </w:r>
      <w:r w:rsidR="00C27A31">
        <w:rPr>
          <w:rFonts w:asciiTheme="majorBidi" w:eastAsia="Times New Roman" w:hAnsiTheme="majorBidi" w:cstheme="majorBidi"/>
          <w:color w:val="000000"/>
          <w:lang w:eastAsia="fr-FR"/>
        </w:rPr>
        <w:t>,</w:t>
      </w:r>
      <w:r w:rsidR="00C27A31" w:rsidRPr="00210320">
        <w:rPr>
          <w:rFonts w:asciiTheme="majorBidi" w:hAnsiTheme="majorBidi" w:cstheme="majorBidi"/>
          <w:bCs/>
        </w:rPr>
        <w:t xml:space="preserve"> avec respectivement </w:t>
      </w:r>
      <w:r w:rsidR="00C27A31" w:rsidRPr="00210320">
        <w:rPr>
          <w:rFonts w:asciiTheme="majorBidi" w:eastAsia="Times New Roman" w:hAnsiTheme="majorBidi" w:cstheme="majorBidi"/>
          <w:color w:val="000000"/>
          <w:lang w:eastAsia="fr-FR"/>
        </w:rPr>
        <w:t xml:space="preserve">3975, 3431 et 3369 </w:t>
      </w:r>
      <w:r w:rsidR="00C27A31" w:rsidRPr="00210320">
        <w:rPr>
          <w:rFonts w:asciiTheme="majorBidi" w:hAnsiTheme="majorBidi" w:cstheme="majorBidi"/>
          <w:bCs/>
        </w:rPr>
        <w:t xml:space="preserve">habitants au kilomètre carré. En </w:t>
      </w:r>
      <w:r w:rsidR="00C27A31" w:rsidRPr="00210320">
        <w:rPr>
          <w:rFonts w:asciiTheme="majorBidi" w:hAnsiTheme="majorBidi" w:cstheme="majorBidi"/>
          <w:bCs/>
        </w:rPr>
        <w:lastRenderedPageBreak/>
        <w:t>revanche</w:t>
      </w:r>
      <w:r w:rsidR="00C27A31">
        <w:rPr>
          <w:rFonts w:asciiTheme="majorBidi" w:hAnsiTheme="majorBidi" w:cstheme="majorBidi"/>
          <w:bCs/>
        </w:rPr>
        <w:t>,</w:t>
      </w:r>
      <w:r w:rsidR="00C27A31" w:rsidRPr="00210320">
        <w:rPr>
          <w:rFonts w:asciiTheme="majorBidi" w:hAnsiTheme="majorBidi" w:cstheme="majorBidi"/>
          <w:bCs/>
        </w:rPr>
        <w:t xml:space="preserve"> les régions de </w:t>
      </w:r>
      <w:r w:rsidR="00C27A31" w:rsidRPr="00210320">
        <w:rPr>
          <w:rFonts w:asciiTheme="majorBidi" w:eastAsia="Times New Roman" w:hAnsiTheme="majorBidi" w:cstheme="majorBidi"/>
          <w:color w:val="000000"/>
          <w:lang w:eastAsia="fr-FR"/>
        </w:rPr>
        <w:t>Dakhla-Oued Ed Dahab</w:t>
      </w:r>
      <w:r w:rsidR="001C3AEC">
        <w:rPr>
          <w:rFonts w:asciiTheme="majorBidi" w:eastAsia="Times New Roman" w:hAnsiTheme="majorBidi" w:cstheme="majorBidi"/>
          <w:color w:val="000000"/>
          <w:lang w:eastAsia="fr-FR"/>
        </w:rPr>
        <w:t xml:space="preserve"> </w:t>
      </w:r>
      <w:r w:rsidR="00C27A31" w:rsidRPr="00210320">
        <w:rPr>
          <w:rFonts w:asciiTheme="majorBidi" w:hAnsiTheme="majorBidi" w:cstheme="majorBidi"/>
          <w:bCs/>
        </w:rPr>
        <w:t xml:space="preserve">et </w:t>
      </w:r>
      <w:r w:rsidR="00C27A31" w:rsidRPr="00210320">
        <w:rPr>
          <w:rFonts w:asciiTheme="majorBidi" w:eastAsia="Times New Roman" w:hAnsiTheme="majorBidi" w:cstheme="majorBidi"/>
          <w:color w:val="000000"/>
          <w:lang w:eastAsia="fr-FR"/>
        </w:rPr>
        <w:t xml:space="preserve">Souss-Massa </w:t>
      </w:r>
      <w:r w:rsidR="00C27A31" w:rsidRPr="00210320">
        <w:rPr>
          <w:rFonts w:asciiTheme="majorBidi" w:hAnsiTheme="majorBidi" w:cstheme="majorBidi"/>
          <w:bCs/>
        </w:rPr>
        <w:t xml:space="preserve">présentent </w:t>
      </w:r>
      <w:r>
        <w:rPr>
          <w:rFonts w:asciiTheme="majorBidi" w:hAnsiTheme="majorBidi" w:cstheme="majorBidi"/>
          <w:bCs/>
        </w:rPr>
        <w:t>de</w:t>
      </w:r>
      <w:r w:rsidR="00C27A31" w:rsidRPr="00210320">
        <w:rPr>
          <w:rFonts w:asciiTheme="majorBidi" w:hAnsiTheme="majorBidi" w:cstheme="majorBidi"/>
          <w:bCs/>
        </w:rPr>
        <w:t xml:space="preserve"> faible</w:t>
      </w:r>
      <w:r w:rsidR="00FE13E8">
        <w:rPr>
          <w:rFonts w:asciiTheme="majorBidi" w:hAnsiTheme="majorBidi" w:cstheme="majorBidi"/>
          <w:bCs/>
        </w:rPr>
        <w:t>s</w:t>
      </w:r>
      <w:r w:rsidR="00C27A31" w:rsidRPr="00210320">
        <w:rPr>
          <w:rFonts w:asciiTheme="majorBidi" w:hAnsiTheme="majorBidi" w:cstheme="majorBidi"/>
          <w:bCs/>
        </w:rPr>
        <w:t xml:space="preserve"> densité</w:t>
      </w:r>
      <w:r w:rsidR="00FE13E8">
        <w:rPr>
          <w:rFonts w:asciiTheme="majorBidi" w:hAnsiTheme="majorBidi" w:cstheme="majorBidi"/>
          <w:bCs/>
        </w:rPr>
        <w:t>s</w:t>
      </w:r>
      <w:r w:rsidR="00C27A31" w:rsidRPr="00210320">
        <w:rPr>
          <w:rFonts w:asciiTheme="majorBidi" w:hAnsiTheme="majorBidi" w:cstheme="majorBidi"/>
          <w:bCs/>
        </w:rPr>
        <w:t xml:space="preserve"> urbaine</w:t>
      </w:r>
      <w:r w:rsidR="00FE13E8">
        <w:rPr>
          <w:rFonts w:asciiTheme="majorBidi" w:hAnsiTheme="majorBidi" w:cstheme="majorBidi"/>
          <w:bCs/>
        </w:rPr>
        <w:t>s</w:t>
      </w:r>
      <w:r w:rsidR="00C27A31" w:rsidRPr="00210320">
        <w:rPr>
          <w:rFonts w:asciiTheme="majorBidi" w:hAnsiTheme="majorBidi" w:cstheme="majorBidi"/>
          <w:bCs/>
        </w:rPr>
        <w:t xml:space="preserve"> ne dépassant </w:t>
      </w:r>
      <w:r>
        <w:rPr>
          <w:rFonts w:asciiTheme="majorBidi" w:hAnsiTheme="majorBidi" w:cstheme="majorBidi"/>
          <w:bCs/>
        </w:rPr>
        <w:t>guère</w:t>
      </w:r>
      <w:r w:rsidR="00C27A31" w:rsidRPr="00210320">
        <w:rPr>
          <w:rFonts w:asciiTheme="majorBidi" w:hAnsiTheme="majorBidi" w:cstheme="majorBidi"/>
          <w:bCs/>
        </w:rPr>
        <w:t xml:space="preserve"> 600 habitants au kilomètre carré.</w:t>
      </w:r>
    </w:p>
    <w:p w:rsidR="009C2674" w:rsidRDefault="009C2674" w:rsidP="006F540F">
      <w:pPr>
        <w:spacing w:before="120" w:after="120"/>
        <w:jc w:val="both"/>
        <w:rPr>
          <w:rFonts w:asciiTheme="majorBidi" w:hAnsiTheme="majorBidi" w:cstheme="majorBidi"/>
          <w:bCs/>
        </w:rPr>
      </w:pPr>
    </w:p>
    <w:p w:rsidR="00037C5C" w:rsidRPr="00210320" w:rsidRDefault="00037C5C" w:rsidP="00037C5C">
      <w:pPr>
        <w:pStyle w:val="Paragraphedeliste"/>
        <w:spacing w:after="0" w:line="240" w:lineRule="auto"/>
        <w:ind w:left="0"/>
        <w:contextualSpacing w:val="0"/>
        <w:jc w:val="center"/>
        <w:rPr>
          <w:rFonts w:asciiTheme="majorBidi" w:hAnsiTheme="majorBidi" w:cstheme="majorBidi"/>
          <w:bCs/>
        </w:rPr>
      </w:pPr>
      <w:r w:rsidRPr="00210320">
        <w:rPr>
          <w:rFonts w:asciiTheme="majorBidi" w:hAnsiTheme="majorBidi" w:cstheme="majorBidi"/>
          <w:b/>
        </w:rPr>
        <w:t>Densité urbaine par région (</w:t>
      </w:r>
      <w:r w:rsidRPr="00210320">
        <w:rPr>
          <w:rFonts w:asciiTheme="majorBidi" w:hAnsiTheme="majorBidi" w:cstheme="majorBidi"/>
          <w:bCs/>
        </w:rPr>
        <w:t>habitants au kilomètre carré)</w:t>
      </w:r>
    </w:p>
    <w:p w:rsidR="00037C5C" w:rsidRPr="00742D9D" w:rsidRDefault="00037C5C" w:rsidP="00037C5C">
      <w:pPr>
        <w:spacing w:before="120" w:after="120"/>
        <w:jc w:val="center"/>
        <w:rPr>
          <w:rFonts w:ascii="Times New Roman" w:eastAsia="Times New Roman" w:hAnsi="Times New Roman" w:cs="Times New Roman"/>
          <w:b/>
          <w:bCs/>
          <w:color w:val="000000"/>
          <w:lang w:eastAsia="fr-FR"/>
        </w:rPr>
      </w:pPr>
      <w:r w:rsidRPr="00210320">
        <w:rPr>
          <w:rFonts w:asciiTheme="majorBidi" w:hAnsiTheme="majorBidi" w:cstheme="majorBidi"/>
          <w:bCs/>
        </w:rPr>
        <w:object w:dxaOrig="13070"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74pt" o:ole="">
            <v:imagedata r:id="rId7" o:title=""/>
          </v:shape>
          <o:OLEObject Type="Embed" ProgID="Excel.Sheet.12" ShapeID="_x0000_i1025" DrawAspect="Content" ObjectID="_1652008929" r:id="rId8"/>
        </w:object>
      </w:r>
    </w:p>
    <w:p w:rsidR="00037C5C" w:rsidRDefault="00037C5C" w:rsidP="00095600">
      <w:pPr>
        <w:spacing w:before="120" w:after="120" w:line="240" w:lineRule="auto"/>
        <w:jc w:val="both"/>
        <w:rPr>
          <w:rFonts w:asciiTheme="majorBidi" w:hAnsiTheme="majorBidi" w:cstheme="majorBidi"/>
          <w:bCs/>
        </w:rPr>
      </w:pPr>
    </w:p>
    <w:p w:rsidR="004C03DF" w:rsidRDefault="004C03DF" w:rsidP="004C03DF">
      <w:pPr>
        <w:jc w:val="both"/>
        <w:rPr>
          <w:rFonts w:asciiTheme="majorBidi" w:hAnsiTheme="majorBidi" w:cstheme="majorBidi"/>
          <w:bCs/>
        </w:rPr>
      </w:pPr>
      <w:r>
        <w:rPr>
          <w:rFonts w:asciiTheme="majorBidi" w:hAnsiTheme="majorBidi" w:cstheme="majorBidi"/>
          <w:bCs/>
        </w:rPr>
        <w:t>A un niveau moins agrégé, il ressort que les provinces les plus denses (plus de 4000 h/</w:t>
      </w:r>
      <w:r w:rsidRPr="003B01D6">
        <w:rPr>
          <w:rFonts w:asciiTheme="majorBidi" w:hAnsiTheme="majorBidi" w:cstheme="majorBidi"/>
          <w:bCs/>
        </w:rPr>
        <w:t>km</w:t>
      </w:r>
      <w:r>
        <w:rPr>
          <w:rFonts w:asciiTheme="majorBidi" w:hAnsiTheme="majorBidi" w:cstheme="majorBidi"/>
          <w:bCs/>
          <w:vertAlign w:val="superscript"/>
        </w:rPr>
        <w:t>2</w:t>
      </w:r>
      <w:r>
        <w:rPr>
          <w:rFonts w:asciiTheme="majorBidi" w:hAnsiTheme="majorBidi" w:cstheme="majorBidi"/>
          <w:bCs/>
        </w:rPr>
        <w:t xml:space="preserve">) sont celles de </w:t>
      </w:r>
      <w:r w:rsidRPr="003B01D6">
        <w:rPr>
          <w:rFonts w:asciiTheme="majorBidi" w:hAnsiTheme="majorBidi" w:cstheme="majorBidi"/>
          <w:bCs/>
        </w:rPr>
        <w:t>Casablanca</w:t>
      </w:r>
      <w:r>
        <w:rPr>
          <w:rFonts w:asciiTheme="majorBidi" w:hAnsiTheme="majorBidi" w:cstheme="majorBidi"/>
          <w:bCs/>
        </w:rPr>
        <w:t xml:space="preserve">, </w:t>
      </w:r>
      <w:r w:rsidRPr="003B01D6">
        <w:rPr>
          <w:rFonts w:asciiTheme="majorBidi" w:hAnsiTheme="majorBidi" w:cstheme="majorBidi"/>
          <w:bCs/>
        </w:rPr>
        <w:t>Fès</w:t>
      </w:r>
      <w:r>
        <w:rPr>
          <w:rFonts w:asciiTheme="majorBidi" w:hAnsiTheme="majorBidi" w:cstheme="majorBidi"/>
          <w:bCs/>
        </w:rPr>
        <w:t xml:space="preserve">, </w:t>
      </w:r>
      <w:r w:rsidRPr="003B01D6">
        <w:rPr>
          <w:rFonts w:asciiTheme="majorBidi" w:hAnsiTheme="majorBidi" w:cstheme="majorBidi"/>
          <w:bCs/>
        </w:rPr>
        <w:t>Salé</w:t>
      </w:r>
      <w:r>
        <w:rPr>
          <w:rFonts w:asciiTheme="majorBidi" w:hAnsiTheme="majorBidi" w:cstheme="majorBidi"/>
          <w:bCs/>
        </w:rPr>
        <w:t xml:space="preserve">, </w:t>
      </w:r>
      <w:r w:rsidRPr="003B01D6">
        <w:rPr>
          <w:rFonts w:asciiTheme="majorBidi" w:hAnsiTheme="majorBidi" w:cstheme="majorBidi"/>
          <w:bCs/>
        </w:rPr>
        <w:t>Oujda-Angad</w:t>
      </w:r>
      <w:r>
        <w:rPr>
          <w:rFonts w:asciiTheme="majorBidi" w:hAnsiTheme="majorBidi" w:cstheme="majorBidi"/>
          <w:bCs/>
        </w:rPr>
        <w:t xml:space="preserve">, </w:t>
      </w:r>
      <w:r w:rsidRPr="003B01D6">
        <w:rPr>
          <w:rFonts w:asciiTheme="majorBidi" w:hAnsiTheme="majorBidi" w:cstheme="majorBidi"/>
          <w:bCs/>
        </w:rPr>
        <w:t>Rabat</w:t>
      </w:r>
      <w:r>
        <w:rPr>
          <w:rFonts w:asciiTheme="majorBidi" w:hAnsiTheme="majorBidi" w:cstheme="majorBidi"/>
          <w:bCs/>
        </w:rPr>
        <w:t xml:space="preserve">, </w:t>
      </w:r>
      <w:r w:rsidRPr="003B01D6">
        <w:rPr>
          <w:rFonts w:asciiTheme="majorBidi" w:hAnsiTheme="majorBidi" w:cstheme="majorBidi"/>
          <w:bCs/>
        </w:rPr>
        <w:t>Meknès</w:t>
      </w:r>
      <w:r>
        <w:rPr>
          <w:rFonts w:asciiTheme="majorBidi" w:hAnsiTheme="majorBidi" w:cstheme="majorBidi"/>
          <w:bCs/>
        </w:rPr>
        <w:t xml:space="preserve"> et </w:t>
      </w:r>
      <w:r w:rsidRPr="003B01D6">
        <w:rPr>
          <w:rFonts w:asciiTheme="majorBidi" w:hAnsiTheme="majorBidi" w:cstheme="majorBidi"/>
          <w:bCs/>
        </w:rPr>
        <w:t>Marrakech</w:t>
      </w:r>
      <w:r>
        <w:rPr>
          <w:rFonts w:asciiTheme="majorBidi" w:hAnsiTheme="majorBidi" w:cstheme="majorBidi"/>
          <w:bCs/>
        </w:rPr>
        <w:t>. A l’opposé, se trouvent les provinces les moins denses (moins de 1000 h/</w:t>
      </w:r>
      <w:r w:rsidRPr="003B01D6">
        <w:rPr>
          <w:rFonts w:asciiTheme="majorBidi" w:hAnsiTheme="majorBidi" w:cstheme="majorBidi"/>
          <w:bCs/>
        </w:rPr>
        <w:t>km</w:t>
      </w:r>
      <w:r>
        <w:rPr>
          <w:rFonts w:asciiTheme="majorBidi" w:hAnsiTheme="majorBidi" w:cstheme="majorBidi"/>
          <w:bCs/>
          <w:vertAlign w:val="superscript"/>
        </w:rPr>
        <w:t>2</w:t>
      </w:r>
      <w:r>
        <w:rPr>
          <w:rFonts w:asciiTheme="majorBidi" w:hAnsiTheme="majorBidi" w:cstheme="majorBidi"/>
          <w:bCs/>
        </w:rPr>
        <w:t xml:space="preserve">) telles que </w:t>
      </w:r>
      <w:r w:rsidR="00FE13E8">
        <w:rPr>
          <w:rFonts w:asciiTheme="majorBidi" w:hAnsiTheme="majorBidi" w:cstheme="majorBidi"/>
          <w:bCs/>
        </w:rPr>
        <w:t>Tarouda</w:t>
      </w:r>
      <w:r w:rsidRPr="003B01D6">
        <w:rPr>
          <w:rFonts w:asciiTheme="majorBidi" w:hAnsiTheme="majorBidi" w:cstheme="majorBidi"/>
          <w:bCs/>
        </w:rPr>
        <w:t>nt</w:t>
      </w:r>
      <w:r>
        <w:rPr>
          <w:rFonts w:asciiTheme="majorBidi" w:hAnsiTheme="majorBidi" w:cstheme="majorBidi"/>
          <w:bCs/>
        </w:rPr>
        <w:t xml:space="preserve">, </w:t>
      </w:r>
      <w:r w:rsidRPr="003B01D6">
        <w:rPr>
          <w:rFonts w:asciiTheme="majorBidi" w:hAnsiTheme="majorBidi" w:cstheme="majorBidi"/>
          <w:bCs/>
        </w:rPr>
        <w:t>Figuig</w:t>
      </w:r>
      <w:r>
        <w:rPr>
          <w:rFonts w:asciiTheme="majorBidi" w:hAnsiTheme="majorBidi" w:cstheme="majorBidi"/>
          <w:bCs/>
        </w:rPr>
        <w:t xml:space="preserve">, </w:t>
      </w:r>
      <w:r w:rsidRPr="003B01D6">
        <w:rPr>
          <w:rFonts w:asciiTheme="majorBidi" w:hAnsiTheme="majorBidi" w:cstheme="majorBidi"/>
          <w:bCs/>
        </w:rPr>
        <w:t>Driouch</w:t>
      </w:r>
      <w:r>
        <w:rPr>
          <w:rFonts w:asciiTheme="majorBidi" w:hAnsiTheme="majorBidi" w:cstheme="majorBidi"/>
          <w:bCs/>
        </w:rPr>
        <w:t xml:space="preserve">, </w:t>
      </w:r>
      <w:r w:rsidRPr="003B01D6">
        <w:rPr>
          <w:rFonts w:asciiTheme="majorBidi" w:hAnsiTheme="majorBidi" w:cstheme="majorBidi"/>
          <w:bCs/>
        </w:rPr>
        <w:t>Tarfaya</w:t>
      </w:r>
      <w:r>
        <w:rPr>
          <w:rFonts w:asciiTheme="majorBidi" w:hAnsiTheme="majorBidi" w:cstheme="majorBidi"/>
          <w:bCs/>
        </w:rPr>
        <w:t xml:space="preserve">, </w:t>
      </w:r>
      <w:r w:rsidRPr="003B01D6">
        <w:rPr>
          <w:rFonts w:asciiTheme="majorBidi" w:hAnsiTheme="majorBidi" w:cstheme="majorBidi"/>
          <w:bCs/>
        </w:rPr>
        <w:t>Taounate</w:t>
      </w:r>
      <w:r>
        <w:rPr>
          <w:rFonts w:asciiTheme="majorBidi" w:hAnsiTheme="majorBidi" w:cstheme="majorBidi"/>
          <w:bCs/>
        </w:rPr>
        <w:t xml:space="preserve">, </w:t>
      </w:r>
      <w:r w:rsidRPr="003B01D6">
        <w:rPr>
          <w:rFonts w:asciiTheme="majorBidi" w:hAnsiTheme="majorBidi" w:cstheme="majorBidi"/>
          <w:bCs/>
        </w:rPr>
        <w:t>Assa-Zag</w:t>
      </w:r>
      <w:r>
        <w:rPr>
          <w:rFonts w:asciiTheme="majorBidi" w:hAnsiTheme="majorBidi" w:cstheme="majorBidi"/>
          <w:bCs/>
        </w:rPr>
        <w:t xml:space="preserve">, </w:t>
      </w:r>
      <w:r w:rsidRPr="003B01D6">
        <w:rPr>
          <w:rFonts w:asciiTheme="majorBidi" w:hAnsiTheme="majorBidi" w:cstheme="majorBidi"/>
          <w:bCs/>
        </w:rPr>
        <w:t>Benslimane</w:t>
      </w:r>
      <w:r>
        <w:rPr>
          <w:rFonts w:asciiTheme="majorBidi" w:hAnsiTheme="majorBidi" w:cstheme="majorBidi"/>
          <w:bCs/>
        </w:rPr>
        <w:t xml:space="preserve">, </w:t>
      </w:r>
      <w:r w:rsidRPr="003B01D6">
        <w:rPr>
          <w:rFonts w:asciiTheme="majorBidi" w:hAnsiTheme="majorBidi" w:cstheme="majorBidi"/>
          <w:bCs/>
        </w:rPr>
        <w:t>Essaouira</w:t>
      </w:r>
      <w:r>
        <w:rPr>
          <w:rFonts w:asciiTheme="majorBidi" w:hAnsiTheme="majorBidi" w:cstheme="majorBidi"/>
          <w:bCs/>
        </w:rPr>
        <w:t xml:space="preserve"> et </w:t>
      </w:r>
      <w:r w:rsidRPr="003B01D6">
        <w:rPr>
          <w:rFonts w:asciiTheme="majorBidi" w:hAnsiTheme="majorBidi" w:cstheme="majorBidi"/>
          <w:bCs/>
        </w:rPr>
        <w:t>Tata</w:t>
      </w:r>
      <w:r>
        <w:rPr>
          <w:rFonts w:asciiTheme="majorBidi" w:hAnsiTheme="majorBidi" w:cstheme="majorBidi"/>
          <w:bCs/>
        </w:rPr>
        <w:t xml:space="preserve"> (voir la carte ci-dessous).</w:t>
      </w:r>
    </w:p>
    <w:p w:rsidR="006C50E4" w:rsidRPr="00210320" w:rsidRDefault="006C50E4" w:rsidP="006C50E4">
      <w:pPr>
        <w:pStyle w:val="Paragraphedeliste"/>
        <w:spacing w:before="240" w:after="120" w:line="264" w:lineRule="auto"/>
        <w:ind w:left="0"/>
        <w:contextualSpacing w:val="0"/>
        <w:jc w:val="center"/>
        <w:rPr>
          <w:rFonts w:asciiTheme="majorBidi" w:hAnsiTheme="majorBidi" w:cstheme="majorBidi"/>
          <w:bCs/>
        </w:rPr>
      </w:pPr>
      <w:r w:rsidRPr="00210320">
        <w:rPr>
          <w:rFonts w:asciiTheme="majorBidi" w:hAnsiTheme="majorBidi" w:cstheme="majorBidi"/>
          <w:bCs/>
          <w:noProof/>
          <w:lang w:eastAsia="fr-FR"/>
        </w:rPr>
        <w:drawing>
          <wp:inline distT="0" distB="0" distL="0" distR="0">
            <wp:extent cx="3106024" cy="4389120"/>
            <wp:effectExtent l="19050" t="0" r="0" b="0"/>
            <wp:docPr id="4" name="Image 9" descr="C:\Users\hp\Downloads\Densité provinciale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Densité provinciale_U.jpg"/>
                    <pic:cNvPicPr>
                      <a:picLocks noChangeAspect="1" noChangeArrowheads="1"/>
                    </pic:cNvPicPr>
                  </pic:nvPicPr>
                  <pic:blipFill>
                    <a:blip r:embed="rId9" cstate="print"/>
                    <a:srcRect/>
                    <a:stretch>
                      <a:fillRect/>
                    </a:stretch>
                  </pic:blipFill>
                  <pic:spPr bwMode="auto">
                    <a:xfrm>
                      <a:off x="0" y="0"/>
                      <a:ext cx="3125227" cy="4416255"/>
                    </a:xfrm>
                    <a:prstGeom prst="rect">
                      <a:avLst/>
                    </a:prstGeom>
                    <a:noFill/>
                    <a:ln w="9525">
                      <a:noFill/>
                      <a:miter lim="800000"/>
                      <a:headEnd/>
                      <a:tailEnd/>
                    </a:ln>
                  </pic:spPr>
                </pic:pic>
              </a:graphicData>
            </a:graphic>
          </wp:inline>
        </w:drawing>
      </w:r>
    </w:p>
    <w:p w:rsidR="009C2674" w:rsidRDefault="009C2674" w:rsidP="00F23590">
      <w:pPr>
        <w:spacing w:before="120" w:after="120" w:line="240" w:lineRule="auto"/>
        <w:jc w:val="both"/>
        <w:rPr>
          <w:rFonts w:asciiTheme="majorBidi" w:hAnsiTheme="majorBidi" w:cstheme="majorBidi"/>
          <w:bCs/>
        </w:rPr>
      </w:pPr>
    </w:p>
    <w:p w:rsidR="00F23590" w:rsidRDefault="00F23590" w:rsidP="00FE13E8">
      <w:pPr>
        <w:spacing w:before="120" w:after="120" w:line="240" w:lineRule="auto"/>
        <w:jc w:val="both"/>
        <w:rPr>
          <w:rFonts w:asciiTheme="majorBidi" w:hAnsiTheme="majorBidi" w:cstheme="majorBidi"/>
          <w:bCs/>
        </w:rPr>
      </w:pPr>
      <w:r>
        <w:rPr>
          <w:rFonts w:asciiTheme="majorBidi" w:hAnsiTheme="majorBidi" w:cstheme="majorBidi"/>
          <w:bCs/>
        </w:rPr>
        <w:t xml:space="preserve">A l’échelle plus fine des grandes villes du pays, </w:t>
      </w:r>
      <w:r w:rsidRPr="00210320">
        <w:rPr>
          <w:rFonts w:asciiTheme="majorBidi" w:hAnsiTheme="majorBidi" w:cstheme="majorBidi"/>
          <w:bCs/>
        </w:rPr>
        <w:t xml:space="preserve">Casablanca </w:t>
      </w:r>
      <w:r>
        <w:rPr>
          <w:rFonts w:asciiTheme="majorBidi" w:hAnsiTheme="majorBidi" w:cstheme="majorBidi"/>
          <w:bCs/>
        </w:rPr>
        <w:t>est la</w:t>
      </w:r>
      <w:r w:rsidRPr="00210320">
        <w:rPr>
          <w:rFonts w:asciiTheme="majorBidi" w:hAnsiTheme="majorBidi" w:cstheme="majorBidi"/>
          <w:bCs/>
        </w:rPr>
        <w:t xml:space="preserve"> plus dense avec 15296 habitants au kilomètre carré</w:t>
      </w:r>
      <w:r w:rsidR="00FE13E8">
        <w:rPr>
          <w:rFonts w:asciiTheme="majorBidi" w:hAnsiTheme="majorBidi" w:cstheme="majorBidi"/>
          <w:bCs/>
        </w:rPr>
        <w:t>,</w:t>
      </w:r>
      <w:r w:rsidRPr="00210320">
        <w:rPr>
          <w:rFonts w:asciiTheme="majorBidi" w:hAnsiTheme="majorBidi" w:cstheme="majorBidi"/>
          <w:bCs/>
        </w:rPr>
        <w:t xml:space="preserve"> suivie de Fès (10713h/km</w:t>
      </w:r>
      <w:r w:rsidRPr="00210320">
        <w:rPr>
          <w:rFonts w:asciiTheme="majorBidi" w:hAnsiTheme="majorBidi" w:cstheme="majorBidi"/>
          <w:bCs/>
          <w:vertAlign w:val="superscript"/>
        </w:rPr>
        <w:t>2</w:t>
      </w:r>
      <w:r w:rsidRPr="00210320">
        <w:rPr>
          <w:rFonts w:asciiTheme="majorBidi" w:hAnsiTheme="majorBidi" w:cstheme="majorBidi"/>
          <w:bCs/>
        </w:rPr>
        <w:t>), Salé (</w:t>
      </w:r>
      <w:r w:rsidRPr="00210320">
        <w:rPr>
          <w:rFonts w:asciiTheme="majorBidi" w:eastAsia="Calibri" w:hAnsiTheme="majorBidi" w:cstheme="majorBidi"/>
          <w:bCs/>
        </w:rPr>
        <w:t>8163</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hAnsiTheme="majorBidi" w:cstheme="majorBidi"/>
          <w:bCs/>
        </w:rPr>
        <w:t>), Tanger (</w:t>
      </w:r>
      <w:r w:rsidRPr="00210320">
        <w:rPr>
          <w:rFonts w:asciiTheme="majorBidi" w:eastAsia="Calibri" w:hAnsiTheme="majorBidi" w:cstheme="majorBidi"/>
          <w:bCs/>
        </w:rPr>
        <w:t>5736</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eastAsia="Calibri" w:hAnsiTheme="majorBidi" w:cstheme="majorBidi"/>
          <w:bCs/>
        </w:rPr>
        <w:t>)</w:t>
      </w:r>
      <w:r>
        <w:rPr>
          <w:rFonts w:asciiTheme="majorBidi" w:eastAsia="Calibri" w:hAnsiTheme="majorBidi" w:cstheme="majorBidi"/>
          <w:bCs/>
        </w:rPr>
        <w:t xml:space="preserve">, </w:t>
      </w:r>
      <w:r w:rsidRPr="00210320">
        <w:rPr>
          <w:rFonts w:asciiTheme="majorBidi" w:hAnsiTheme="majorBidi" w:cstheme="majorBidi"/>
          <w:bCs/>
        </w:rPr>
        <w:t>Rabat (4882h/km</w:t>
      </w:r>
      <w:r w:rsidRPr="00210320">
        <w:rPr>
          <w:rFonts w:asciiTheme="majorBidi" w:hAnsiTheme="majorBidi" w:cstheme="majorBidi"/>
          <w:bCs/>
          <w:vertAlign w:val="superscript"/>
        </w:rPr>
        <w:t>2</w:t>
      </w:r>
      <w:r w:rsidRPr="00210320">
        <w:rPr>
          <w:rFonts w:asciiTheme="majorBidi" w:hAnsiTheme="majorBidi" w:cstheme="majorBidi"/>
          <w:bCs/>
        </w:rPr>
        <w:t>) et Marrakech (4436h/km</w:t>
      </w:r>
      <w:r w:rsidRPr="00210320">
        <w:rPr>
          <w:rFonts w:asciiTheme="majorBidi" w:hAnsiTheme="majorBidi" w:cstheme="majorBidi"/>
          <w:bCs/>
          <w:vertAlign w:val="superscript"/>
        </w:rPr>
        <w:t>2</w:t>
      </w:r>
      <w:r w:rsidRPr="00210320">
        <w:rPr>
          <w:rFonts w:asciiTheme="majorBidi" w:hAnsiTheme="majorBidi" w:cstheme="majorBidi"/>
          <w:bCs/>
        </w:rPr>
        <w:t xml:space="preserve">). Au sein </w:t>
      </w:r>
      <w:r>
        <w:rPr>
          <w:rFonts w:asciiTheme="majorBidi" w:hAnsiTheme="majorBidi" w:cstheme="majorBidi"/>
          <w:bCs/>
        </w:rPr>
        <w:t xml:space="preserve">même de ces </w:t>
      </w:r>
      <w:r w:rsidRPr="00210320">
        <w:rPr>
          <w:rFonts w:asciiTheme="majorBidi" w:hAnsiTheme="majorBidi" w:cstheme="majorBidi"/>
          <w:bCs/>
        </w:rPr>
        <w:t>villes, la densité varie selon la st</w:t>
      </w:r>
      <w:r>
        <w:rPr>
          <w:rFonts w:asciiTheme="majorBidi" w:hAnsiTheme="majorBidi" w:cstheme="majorBidi"/>
          <w:bCs/>
        </w:rPr>
        <w:t>r</w:t>
      </w:r>
      <w:r w:rsidRPr="00210320">
        <w:rPr>
          <w:rFonts w:asciiTheme="majorBidi" w:hAnsiTheme="majorBidi" w:cstheme="majorBidi"/>
          <w:bCs/>
        </w:rPr>
        <w:t>ate d'habitat. Ainsi, la strate la plus dense est celle de l'économique et social avec 18658 h/km</w:t>
      </w:r>
      <w:r w:rsidRPr="00210320">
        <w:rPr>
          <w:rFonts w:asciiTheme="majorBidi" w:hAnsiTheme="majorBidi" w:cstheme="majorBidi"/>
          <w:bCs/>
          <w:vertAlign w:val="superscript"/>
        </w:rPr>
        <w:t>2</w:t>
      </w:r>
      <w:r w:rsidRPr="00210320">
        <w:rPr>
          <w:rFonts w:asciiTheme="majorBidi" w:hAnsiTheme="majorBidi" w:cstheme="majorBidi"/>
          <w:bCs/>
        </w:rPr>
        <w:t>, suivie de la strate ancienne médina (16039 h/km</w:t>
      </w:r>
      <w:r w:rsidRPr="00210320">
        <w:rPr>
          <w:rFonts w:asciiTheme="majorBidi" w:hAnsiTheme="majorBidi" w:cstheme="majorBidi"/>
          <w:bCs/>
          <w:vertAlign w:val="superscript"/>
        </w:rPr>
        <w:t>2</w:t>
      </w:r>
      <w:r w:rsidRPr="00210320">
        <w:rPr>
          <w:rFonts w:asciiTheme="majorBidi" w:hAnsiTheme="majorBidi" w:cstheme="majorBidi"/>
          <w:bCs/>
        </w:rPr>
        <w:t>)</w:t>
      </w:r>
      <w:r>
        <w:rPr>
          <w:rFonts w:asciiTheme="majorBidi" w:hAnsiTheme="majorBidi" w:cstheme="majorBidi"/>
          <w:bCs/>
        </w:rPr>
        <w:t xml:space="preserve">, </w:t>
      </w:r>
      <w:r w:rsidRPr="00210320">
        <w:rPr>
          <w:rFonts w:asciiTheme="majorBidi" w:hAnsiTheme="majorBidi" w:cstheme="majorBidi"/>
          <w:bCs/>
        </w:rPr>
        <w:t>l</w:t>
      </w:r>
      <w:r>
        <w:rPr>
          <w:rFonts w:asciiTheme="majorBidi" w:hAnsiTheme="majorBidi" w:cstheme="majorBidi"/>
          <w:bCs/>
        </w:rPr>
        <w:t xml:space="preserve">a strate du </w:t>
      </w:r>
      <w:r w:rsidRPr="00210320">
        <w:rPr>
          <w:rFonts w:asciiTheme="majorBidi" w:hAnsiTheme="majorBidi" w:cstheme="majorBidi"/>
          <w:bCs/>
        </w:rPr>
        <w:t xml:space="preserve">moyen </w:t>
      </w:r>
      <w:r>
        <w:rPr>
          <w:rFonts w:asciiTheme="majorBidi" w:hAnsiTheme="majorBidi" w:cstheme="majorBidi"/>
          <w:bCs/>
        </w:rPr>
        <w:t xml:space="preserve">standing </w:t>
      </w:r>
      <w:r w:rsidRPr="00210320">
        <w:rPr>
          <w:rFonts w:asciiTheme="majorBidi" w:hAnsiTheme="majorBidi" w:cstheme="majorBidi"/>
          <w:bCs/>
        </w:rPr>
        <w:t>avec 13412 h/km</w:t>
      </w:r>
      <w:r w:rsidRPr="00210320">
        <w:rPr>
          <w:rFonts w:asciiTheme="majorBidi" w:hAnsiTheme="majorBidi" w:cstheme="majorBidi"/>
          <w:bCs/>
          <w:vertAlign w:val="superscript"/>
        </w:rPr>
        <w:t>2</w:t>
      </w:r>
      <w:r>
        <w:rPr>
          <w:rFonts w:asciiTheme="majorBidi" w:hAnsiTheme="majorBidi" w:cstheme="majorBidi"/>
          <w:bCs/>
        </w:rPr>
        <w:t xml:space="preserve"> et</w:t>
      </w:r>
      <w:r w:rsidR="00C402CD">
        <w:rPr>
          <w:rFonts w:asciiTheme="majorBidi" w:hAnsiTheme="majorBidi" w:cstheme="majorBidi"/>
          <w:bCs/>
        </w:rPr>
        <w:t xml:space="preserve"> </w:t>
      </w:r>
      <w:r w:rsidRPr="00210320">
        <w:rPr>
          <w:rFonts w:asciiTheme="majorBidi" w:hAnsiTheme="majorBidi" w:cstheme="majorBidi"/>
          <w:bCs/>
        </w:rPr>
        <w:t>la strate des bidonvilles avec 7143 h/km</w:t>
      </w:r>
      <w:r w:rsidRPr="00210320">
        <w:rPr>
          <w:rFonts w:asciiTheme="majorBidi" w:hAnsiTheme="majorBidi" w:cstheme="majorBidi"/>
          <w:bCs/>
          <w:vertAlign w:val="superscript"/>
        </w:rPr>
        <w:t>2</w:t>
      </w:r>
      <w:r>
        <w:rPr>
          <w:rFonts w:asciiTheme="majorBidi" w:hAnsiTheme="majorBidi" w:cstheme="majorBidi"/>
          <w:bCs/>
        </w:rPr>
        <w:t>. En revanche</w:t>
      </w:r>
      <w:r w:rsidR="006C3E6F">
        <w:rPr>
          <w:rFonts w:asciiTheme="majorBidi" w:hAnsiTheme="majorBidi" w:cstheme="majorBidi"/>
          <w:bCs/>
        </w:rPr>
        <w:t>,</w:t>
      </w:r>
      <w:r w:rsidR="00C402CD">
        <w:rPr>
          <w:rFonts w:asciiTheme="majorBidi" w:hAnsiTheme="majorBidi" w:cstheme="majorBidi"/>
          <w:bCs/>
        </w:rPr>
        <w:t xml:space="preserve"> </w:t>
      </w:r>
      <w:r w:rsidRPr="00210320">
        <w:rPr>
          <w:rFonts w:asciiTheme="majorBidi" w:hAnsiTheme="majorBidi" w:cstheme="majorBidi"/>
          <w:bCs/>
        </w:rPr>
        <w:t xml:space="preserve">la strate la moins dense est celle du luxe avec </w:t>
      </w:r>
      <w:r>
        <w:rPr>
          <w:rFonts w:asciiTheme="majorBidi" w:hAnsiTheme="majorBidi" w:cstheme="majorBidi"/>
          <w:bCs/>
        </w:rPr>
        <w:t xml:space="preserve">seulement </w:t>
      </w:r>
      <w:r w:rsidRPr="00210320">
        <w:rPr>
          <w:rFonts w:asciiTheme="majorBidi" w:eastAsia="Times New Roman" w:hAnsiTheme="majorBidi" w:cstheme="majorBidi"/>
          <w:bCs/>
          <w:color w:val="000000"/>
          <w:lang w:eastAsia="fr-FR"/>
        </w:rPr>
        <w:t xml:space="preserve">1120 </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hAnsiTheme="majorBidi" w:cstheme="majorBidi"/>
          <w:bCs/>
        </w:rPr>
        <w:t>.</w:t>
      </w:r>
    </w:p>
    <w:p w:rsidR="00F23590" w:rsidRDefault="00F23590" w:rsidP="00F23590">
      <w:pPr>
        <w:spacing w:before="120" w:after="120" w:line="240" w:lineRule="auto"/>
        <w:jc w:val="both"/>
        <w:rPr>
          <w:rFonts w:asciiTheme="majorBidi" w:hAnsiTheme="majorBidi" w:cstheme="majorBidi"/>
          <w:b/>
        </w:rPr>
      </w:pPr>
      <w:r>
        <w:rPr>
          <w:rFonts w:asciiTheme="majorBidi" w:hAnsiTheme="majorBidi" w:cstheme="majorBidi"/>
          <w:bCs/>
        </w:rPr>
        <w:t>A titre d'illustration,</w:t>
      </w:r>
      <w:r w:rsidR="00C402CD">
        <w:rPr>
          <w:rFonts w:asciiTheme="majorBidi" w:hAnsiTheme="majorBidi" w:cstheme="majorBidi"/>
          <w:bCs/>
        </w:rPr>
        <w:t xml:space="preserve"> </w:t>
      </w:r>
      <w:r>
        <w:rPr>
          <w:rFonts w:asciiTheme="majorBidi" w:hAnsiTheme="majorBidi" w:cstheme="majorBidi"/>
          <w:bCs/>
        </w:rPr>
        <w:t>on présente une cartographie de la densité de population au sein de la ville de Casablanca par district de recensement et par strate d’habitat ou l’on retrouve le même</w:t>
      </w:r>
      <w:r w:rsidR="00C402CD">
        <w:rPr>
          <w:rFonts w:asciiTheme="majorBidi" w:hAnsiTheme="majorBidi" w:cstheme="majorBidi"/>
          <w:bCs/>
        </w:rPr>
        <w:t xml:space="preserve"> </w:t>
      </w:r>
      <w:r>
        <w:rPr>
          <w:rFonts w:asciiTheme="majorBidi" w:hAnsiTheme="majorBidi" w:cstheme="majorBidi"/>
          <w:bCs/>
        </w:rPr>
        <w:t>schéma</w:t>
      </w:r>
      <w:r w:rsidR="00C402CD">
        <w:rPr>
          <w:rFonts w:asciiTheme="majorBidi" w:hAnsiTheme="majorBidi" w:cstheme="majorBidi"/>
          <w:bCs/>
        </w:rPr>
        <w:t xml:space="preserve"> </w:t>
      </w:r>
      <w:r>
        <w:rPr>
          <w:rFonts w:asciiTheme="majorBidi" w:hAnsiTheme="majorBidi" w:cstheme="majorBidi"/>
          <w:bCs/>
        </w:rPr>
        <w:t>qui vient d’être explicité.</w:t>
      </w:r>
    </w:p>
    <w:p w:rsidR="007357F3" w:rsidRPr="00210320" w:rsidRDefault="007357F3" w:rsidP="007357F3">
      <w:pPr>
        <w:spacing w:before="120" w:after="120" w:line="240" w:lineRule="auto"/>
        <w:jc w:val="both"/>
        <w:rPr>
          <w:rFonts w:asciiTheme="majorBidi" w:hAnsiTheme="majorBidi" w:cstheme="majorBidi"/>
          <w:b/>
        </w:rPr>
      </w:pPr>
    </w:p>
    <w:p w:rsidR="008522F8" w:rsidRDefault="00D10D71" w:rsidP="008C085B">
      <w:pPr>
        <w:jc w:val="center"/>
        <w:rPr>
          <w:rFonts w:asciiTheme="majorBidi" w:hAnsiTheme="majorBidi" w:cstheme="majorBidi"/>
          <w:bCs/>
        </w:rPr>
      </w:pPr>
      <w:r w:rsidRPr="00D10D71">
        <w:rPr>
          <w:rFonts w:asciiTheme="majorBidi" w:hAnsiTheme="majorBidi" w:cstheme="majorBidi"/>
          <w:bCs/>
          <w:noProof/>
          <w:lang w:eastAsia="fr-FR"/>
        </w:rPr>
        <w:drawing>
          <wp:inline distT="0" distB="0" distL="0" distR="0">
            <wp:extent cx="2679271" cy="4106385"/>
            <wp:effectExtent l="19050" t="0" r="6779" b="0"/>
            <wp:docPr id="6" name="Image 2" descr="C:\Users\hp\Downloads\Densité-Strate_Casa (1).jpg"/>
            <wp:cNvGraphicFramePr/>
            <a:graphic xmlns:a="http://schemas.openxmlformats.org/drawingml/2006/main">
              <a:graphicData uri="http://schemas.openxmlformats.org/drawingml/2006/picture">
                <pic:pic xmlns:pic="http://schemas.openxmlformats.org/drawingml/2006/picture">
                  <pic:nvPicPr>
                    <pic:cNvPr id="0" name="Picture 3" descr="C:\Users\hp\Downloads\Densité-Strate_Casa (1).jpg"/>
                    <pic:cNvPicPr>
                      <a:picLocks noChangeAspect="1" noChangeArrowheads="1"/>
                    </pic:cNvPicPr>
                  </pic:nvPicPr>
                  <pic:blipFill>
                    <a:blip r:embed="rId10" cstate="print"/>
                    <a:srcRect/>
                    <a:stretch>
                      <a:fillRect/>
                    </a:stretch>
                  </pic:blipFill>
                  <pic:spPr bwMode="auto">
                    <a:xfrm>
                      <a:off x="0" y="0"/>
                      <a:ext cx="2678895" cy="4105808"/>
                    </a:xfrm>
                    <a:prstGeom prst="rect">
                      <a:avLst/>
                    </a:prstGeom>
                    <a:noFill/>
                    <a:ln w="9525">
                      <a:noFill/>
                      <a:miter lim="800000"/>
                      <a:headEnd/>
                      <a:tailEnd/>
                    </a:ln>
                  </pic:spPr>
                </pic:pic>
              </a:graphicData>
            </a:graphic>
          </wp:inline>
        </w:drawing>
      </w:r>
    </w:p>
    <w:p w:rsidR="00210320" w:rsidRPr="00210320" w:rsidRDefault="00F517FD" w:rsidP="00210320">
      <w:pPr>
        <w:pStyle w:val="Paragraphedeliste"/>
        <w:spacing w:before="240" w:after="120" w:line="264" w:lineRule="auto"/>
        <w:ind w:left="0"/>
        <w:contextualSpacing w:val="0"/>
        <w:jc w:val="both"/>
        <w:rPr>
          <w:rFonts w:asciiTheme="majorBidi" w:hAnsiTheme="majorBidi" w:cstheme="majorBidi"/>
          <w:b/>
          <w:color w:val="0070C0"/>
        </w:rPr>
      </w:pPr>
      <w:r>
        <w:rPr>
          <w:rFonts w:asciiTheme="majorBidi" w:hAnsiTheme="majorBidi" w:cstheme="majorBidi"/>
          <w:b/>
          <w:color w:val="0070C0"/>
        </w:rPr>
        <w:t xml:space="preserve">B- </w:t>
      </w:r>
      <w:r w:rsidR="00210320" w:rsidRPr="00210320">
        <w:rPr>
          <w:rFonts w:asciiTheme="majorBidi" w:hAnsiTheme="majorBidi" w:cstheme="majorBidi"/>
          <w:b/>
          <w:color w:val="0070C0"/>
        </w:rPr>
        <w:t>Risques liés aux conditions d'habitations </w:t>
      </w:r>
    </w:p>
    <w:p w:rsidR="00F23590" w:rsidRPr="00210320" w:rsidRDefault="00F23590" w:rsidP="00F23590">
      <w:pPr>
        <w:pStyle w:val="Paragraphedeliste"/>
        <w:spacing w:before="240" w:after="120" w:line="264" w:lineRule="auto"/>
        <w:ind w:left="0"/>
        <w:contextualSpacing w:val="0"/>
        <w:jc w:val="both"/>
        <w:rPr>
          <w:rFonts w:asciiTheme="majorBidi" w:hAnsiTheme="majorBidi" w:cstheme="majorBidi"/>
          <w:bCs/>
        </w:rPr>
      </w:pPr>
      <w:r w:rsidRPr="00210320">
        <w:rPr>
          <w:rFonts w:asciiTheme="majorBidi" w:hAnsiTheme="majorBidi" w:cstheme="majorBidi"/>
          <w:bCs/>
        </w:rPr>
        <w:t xml:space="preserve">Outre la densité urbaine, le risque de contamination </w:t>
      </w:r>
      <w:r>
        <w:rPr>
          <w:rFonts w:asciiTheme="majorBidi" w:hAnsiTheme="majorBidi" w:cstheme="majorBidi"/>
          <w:bCs/>
        </w:rPr>
        <w:t>serait</w:t>
      </w:r>
      <w:r w:rsidRPr="00210320">
        <w:rPr>
          <w:rFonts w:asciiTheme="majorBidi" w:hAnsiTheme="majorBidi" w:cstheme="majorBidi"/>
          <w:bCs/>
        </w:rPr>
        <w:t xml:space="preserve"> plus élevé dans les régions où la population habite dans des logements« sur-occupés », c'est-à-dire ceux où le nombre de piè</w:t>
      </w:r>
      <w:r>
        <w:rPr>
          <w:rFonts w:asciiTheme="majorBidi" w:hAnsiTheme="majorBidi" w:cstheme="majorBidi"/>
          <w:bCs/>
        </w:rPr>
        <w:t xml:space="preserve">ces est insuffisant au regard de la taille </w:t>
      </w:r>
      <w:r w:rsidRPr="00210320">
        <w:rPr>
          <w:rFonts w:asciiTheme="majorBidi" w:hAnsiTheme="majorBidi" w:cstheme="majorBidi"/>
          <w:bCs/>
        </w:rPr>
        <w:t xml:space="preserve">du ménage. </w:t>
      </w:r>
    </w:p>
    <w:p w:rsidR="008C085B" w:rsidRDefault="00F23590" w:rsidP="00F23590">
      <w:pPr>
        <w:pStyle w:val="Paragraphedeliste"/>
        <w:spacing w:before="240" w:after="120" w:line="264" w:lineRule="auto"/>
        <w:ind w:left="0"/>
        <w:contextualSpacing w:val="0"/>
        <w:jc w:val="both"/>
        <w:rPr>
          <w:rFonts w:asciiTheme="majorBidi" w:hAnsiTheme="majorBidi" w:cstheme="majorBidi"/>
          <w:bCs/>
        </w:rPr>
      </w:pPr>
      <w:r w:rsidRPr="00210320">
        <w:rPr>
          <w:rFonts w:asciiTheme="majorBidi" w:hAnsiTheme="majorBidi" w:cstheme="majorBidi"/>
          <w:bCs/>
        </w:rPr>
        <w:t>En considérant comme logement sur-occupé celui habité par un ménage avec plus de trois personnes par pièce, on peut estimer à un peu plus d'un million (1,05 millions) de ménages qui sont dans cette situation au niveau national, soit une proportion de 12,5%. Les régions les plus touchées par le phénomène de sur-occupation des logements sont celle</w:t>
      </w:r>
      <w:r>
        <w:rPr>
          <w:rFonts w:asciiTheme="majorBidi" w:hAnsiTheme="majorBidi" w:cstheme="majorBidi"/>
          <w:bCs/>
        </w:rPr>
        <w:t>s</w:t>
      </w:r>
      <w:r w:rsidRPr="00210320">
        <w:rPr>
          <w:rFonts w:asciiTheme="majorBidi" w:hAnsiTheme="majorBidi" w:cstheme="majorBidi"/>
          <w:bCs/>
        </w:rPr>
        <w:t xml:space="preserve"> de l'Oriental (14,1%) et de Casablanca-Settat (14%). En revanche</w:t>
      </w:r>
      <w:r>
        <w:rPr>
          <w:rFonts w:asciiTheme="majorBidi" w:hAnsiTheme="majorBidi" w:cstheme="majorBidi"/>
          <w:bCs/>
        </w:rPr>
        <w:t>,</w:t>
      </w:r>
      <w:r w:rsidRPr="00210320">
        <w:rPr>
          <w:rFonts w:asciiTheme="majorBidi" w:hAnsiTheme="majorBidi" w:cstheme="majorBidi"/>
          <w:bCs/>
        </w:rPr>
        <w:t xml:space="preserve"> les régions du sud et celle de Souss-Massa ont de faible</w:t>
      </w:r>
      <w:r>
        <w:rPr>
          <w:rFonts w:asciiTheme="majorBidi" w:hAnsiTheme="majorBidi" w:cstheme="majorBidi"/>
          <w:bCs/>
        </w:rPr>
        <w:t>s</w:t>
      </w:r>
      <w:r w:rsidRPr="00210320">
        <w:rPr>
          <w:rFonts w:asciiTheme="majorBidi" w:hAnsiTheme="majorBidi" w:cstheme="majorBidi"/>
          <w:bCs/>
        </w:rPr>
        <w:t xml:space="preserve"> proportion</w:t>
      </w:r>
      <w:r>
        <w:rPr>
          <w:rFonts w:asciiTheme="majorBidi" w:hAnsiTheme="majorBidi" w:cstheme="majorBidi"/>
          <w:bCs/>
        </w:rPr>
        <w:t>s</w:t>
      </w:r>
      <w:r w:rsidRPr="00210320">
        <w:rPr>
          <w:rFonts w:asciiTheme="majorBidi" w:hAnsiTheme="majorBidi" w:cstheme="majorBidi"/>
          <w:bCs/>
        </w:rPr>
        <w:t xml:space="preserve"> avec respectivement 8,4% et 7,6%. C’est pratiquement le même classement que celui qui ressort de l’analyse précédente.</w:t>
      </w:r>
    </w:p>
    <w:p w:rsidR="0032604C" w:rsidRPr="00210320" w:rsidRDefault="0032604C" w:rsidP="00F23590">
      <w:pPr>
        <w:pStyle w:val="Paragraphedeliste"/>
        <w:spacing w:before="240" w:after="120" w:line="264" w:lineRule="auto"/>
        <w:ind w:left="0"/>
        <w:contextualSpacing w:val="0"/>
        <w:jc w:val="both"/>
        <w:rPr>
          <w:rFonts w:asciiTheme="majorBidi" w:hAnsiTheme="majorBidi" w:cstheme="majorBidi"/>
          <w:bCs/>
        </w:rPr>
      </w:pPr>
    </w:p>
    <w:p w:rsidR="00210320" w:rsidRPr="00210320" w:rsidRDefault="00210320" w:rsidP="00210320">
      <w:pPr>
        <w:pStyle w:val="Paragraphedeliste"/>
        <w:spacing w:after="0" w:line="240" w:lineRule="auto"/>
        <w:ind w:left="0"/>
        <w:contextualSpacing w:val="0"/>
        <w:jc w:val="center"/>
        <w:rPr>
          <w:rFonts w:asciiTheme="majorBidi" w:hAnsiTheme="majorBidi" w:cstheme="majorBidi"/>
          <w:b/>
        </w:rPr>
      </w:pPr>
      <w:r w:rsidRPr="00210320">
        <w:rPr>
          <w:rFonts w:asciiTheme="majorBidi" w:hAnsiTheme="majorBidi" w:cstheme="majorBidi"/>
          <w:b/>
        </w:rPr>
        <w:t>Part des logements sur-occupés par région (en %)</w:t>
      </w:r>
    </w:p>
    <w:p w:rsidR="00210320" w:rsidRDefault="00EB0704" w:rsidP="00210320">
      <w:pPr>
        <w:jc w:val="center"/>
        <w:rPr>
          <w:rFonts w:asciiTheme="majorBidi" w:hAnsiTheme="majorBidi" w:cstheme="majorBidi"/>
          <w:bCs/>
        </w:rPr>
      </w:pPr>
      <w:r w:rsidRPr="00210320">
        <w:rPr>
          <w:rFonts w:asciiTheme="majorBidi" w:hAnsiTheme="majorBidi" w:cstheme="majorBidi"/>
          <w:bCs/>
        </w:rPr>
        <w:object w:dxaOrig="13020" w:dyaOrig="5190">
          <v:shape id="_x0000_i1026" type="#_x0000_t75" style="width:458pt;height:182pt" o:ole="">
            <v:imagedata r:id="rId11" o:title=""/>
          </v:shape>
          <o:OLEObject Type="Embed" ProgID="Excel.Sheet.12" ShapeID="_x0000_i1026" DrawAspect="Content" ObjectID="_1652008930" r:id="rId12"/>
        </w:object>
      </w:r>
    </w:p>
    <w:p w:rsidR="00F23590" w:rsidRDefault="00F23590" w:rsidP="00F565BC">
      <w:pPr>
        <w:jc w:val="both"/>
        <w:rPr>
          <w:noProof/>
          <w:lang w:eastAsia="fr-FR"/>
        </w:rPr>
      </w:pPr>
      <w:r>
        <w:rPr>
          <w:rFonts w:asciiTheme="majorBidi" w:hAnsiTheme="majorBidi" w:cstheme="majorBidi"/>
          <w:bCs/>
        </w:rPr>
        <w:t>Cette répartition par région masque des dispersions au niveau provincial au sein même de chaque région, ainsi que le montre la carte ci-dessous donnant la répa</w:t>
      </w:r>
      <w:r w:rsidR="008B7840">
        <w:rPr>
          <w:rFonts w:asciiTheme="majorBidi" w:hAnsiTheme="majorBidi" w:cstheme="majorBidi"/>
          <w:bCs/>
        </w:rPr>
        <w:t>r</w:t>
      </w:r>
      <w:r w:rsidR="00F565BC">
        <w:rPr>
          <w:rFonts w:asciiTheme="majorBidi" w:hAnsiTheme="majorBidi" w:cstheme="majorBidi"/>
          <w:bCs/>
        </w:rPr>
        <w:t>ti</w:t>
      </w:r>
      <w:r>
        <w:rPr>
          <w:rFonts w:asciiTheme="majorBidi" w:hAnsiTheme="majorBidi" w:cstheme="majorBidi"/>
          <w:bCs/>
        </w:rPr>
        <w:t xml:space="preserve">tion des provinces selon la part des ménages </w:t>
      </w:r>
      <w:r w:rsidRPr="00210320">
        <w:rPr>
          <w:rFonts w:asciiTheme="majorBidi" w:hAnsiTheme="majorBidi" w:cstheme="majorBidi"/>
          <w:bCs/>
        </w:rPr>
        <w:t>avec</w:t>
      </w:r>
      <w:r w:rsidR="00C402CD">
        <w:rPr>
          <w:rFonts w:asciiTheme="majorBidi" w:hAnsiTheme="majorBidi" w:cstheme="majorBidi"/>
          <w:bCs/>
        </w:rPr>
        <w:t xml:space="preserve"> </w:t>
      </w:r>
      <w:r w:rsidRPr="00210320">
        <w:rPr>
          <w:rFonts w:asciiTheme="majorBidi" w:hAnsiTheme="majorBidi" w:cstheme="majorBidi"/>
          <w:bCs/>
        </w:rPr>
        <w:t xml:space="preserve">trois personnes </w:t>
      </w:r>
      <w:r w:rsidR="004D5748">
        <w:rPr>
          <w:rFonts w:asciiTheme="majorBidi" w:hAnsiTheme="majorBidi" w:cstheme="majorBidi"/>
          <w:bCs/>
        </w:rPr>
        <w:t>et</w:t>
      </w:r>
      <w:r>
        <w:rPr>
          <w:rFonts w:asciiTheme="majorBidi" w:hAnsiTheme="majorBidi" w:cstheme="majorBidi"/>
          <w:bCs/>
        </w:rPr>
        <w:t xml:space="preserve"> plus</w:t>
      </w:r>
      <w:r w:rsidRPr="00210320">
        <w:rPr>
          <w:rFonts w:asciiTheme="majorBidi" w:hAnsiTheme="majorBidi" w:cstheme="majorBidi"/>
          <w:bCs/>
        </w:rPr>
        <w:t xml:space="preserve"> par pièce</w:t>
      </w:r>
      <w:r>
        <w:rPr>
          <w:rFonts w:asciiTheme="majorBidi" w:hAnsiTheme="majorBidi" w:cstheme="majorBidi"/>
          <w:bCs/>
        </w:rPr>
        <w:t>.</w:t>
      </w:r>
    </w:p>
    <w:p w:rsidR="003011C5" w:rsidRDefault="003011C5" w:rsidP="003011C5">
      <w:pPr>
        <w:pStyle w:val="Paragraphedeliste"/>
        <w:spacing w:before="240" w:after="120" w:line="264" w:lineRule="auto"/>
        <w:ind w:left="0"/>
        <w:contextualSpacing w:val="0"/>
        <w:jc w:val="center"/>
        <w:rPr>
          <w:rFonts w:asciiTheme="majorBidi" w:hAnsiTheme="majorBidi" w:cstheme="majorBidi"/>
          <w:bCs/>
        </w:rPr>
      </w:pPr>
      <w:r w:rsidRPr="003011C5">
        <w:rPr>
          <w:rFonts w:asciiTheme="majorBidi" w:hAnsiTheme="majorBidi" w:cstheme="majorBidi"/>
          <w:bCs/>
          <w:noProof/>
          <w:lang w:eastAsia="fr-FR"/>
        </w:rPr>
        <w:drawing>
          <wp:inline distT="0" distB="0" distL="0" distR="0">
            <wp:extent cx="3096005" cy="4374489"/>
            <wp:effectExtent l="19050" t="0" r="9145" b="0"/>
            <wp:docPr id="2" name="Image 2" descr="C:\Users\hp\Downloads\Car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Carte 3.jpg"/>
                    <pic:cNvPicPr>
                      <a:picLocks noChangeAspect="1" noChangeArrowheads="1"/>
                    </pic:cNvPicPr>
                  </pic:nvPicPr>
                  <pic:blipFill>
                    <a:blip r:embed="rId13" cstate="print"/>
                    <a:srcRect/>
                    <a:stretch>
                      <a:fillRect/>
                    </a:stretch>
                  </pic:blipFill>
                  <pic:spPr bwMode="auto">
                    <a:xfrm>
                      <a:off x="0" y="0"/>
                      <a:ext cx="3146356" cy="4445632"/>
                    </a:xfrm>
                    <a:prstGeom prst="rect">
                      <a:avLst/>
                    </a:prstGeom>
                    <a:noFill/>
                    <a:ln w="9525">
                      <a:noFill/>
                      <a:miter lim="800000"/>
                      <a:headEnd/>
                      <a:tailEnd/>
                    </a:ln>
                  </pic:spPr>
                </pic:pic>
              </a:graphicData>
            </a:graphic>
          </wp:inline>
        </w:drawing>
      </w:r>
    </w:p>
    <w:p w:rsidR="00FF02E2" w:rsidRDefault="00FF02E2" w:rsidP="00FF02E2">
      <w:pPr>
        <w:pStyle w:val="Paragraphedeliste"/>
        <w:spacing w:before="240" w:after="120" w:line="264" w:lineRule="auto"/>
        <w:ind w:left="0"/>
        <w:contextualSpacing w:val="0"/>
        <w:jc w:val="both"/>
        <w:rPr>
          <w:rFonts w:asciiTheme="majorBidi" w:hAnsiTheme="majorBidi" w:cstheme="majorBidi"/>
          <w:bCs/>
        </w:rPr>
      </w:pPr>
      <w:r>
        <w:rPr>
          <w:rFonts w:asciiTheme="majorBidi" w:hAnsiTheme="majorBidi" w:cstheme="majorBidi"/>
          <w:bCs/>
        </w:rPr>
        <w:t xml:space="preserve">En se fixant les grandes villes comme niveau d’analyse, on constate que  celles </w:t>
      </w:r>
      <w:r w:rsidRPr="00210320">
        <w:rPr>
          <w:rFonts w:asciiTheme="majorBidi" w:hAnsiTheme="majorBidi" w:cstheme="majorBidi"/>
          <w:bCs/>
        </w:rPr>
        <w:t>qui comptent le plus de logement sur-occupés sont globalement les mêmes</w:t>
      </w:r>
      <w:r>
        <w:rPr>
          <w:rFonts w:asciiTheme="majorBidi" w:hAnsiTheme="majorBidi" w:cstheme="majorBidi"/>
          <w:bCs/>
        </w:rPr>
        <w:t xml:space="preserve"> que celles</w:t>
      </w:r>
      <w:r w:rsidRPr="00210320">
        <w:rPr>
          <w:rFonts w:asciiTheme="majorBidi" w:hAnsiTheme="majorBidi" w:cstheme="majorBidi"/>
          <w:bCs/>
        </w:rPr>
        <w:t xml:space="preserve"> citées </w:t>
      </w:r>
      <w:r>
        <w:rPr>
          <w:rFonts w:asciiTheme="majorBidi" w:hAnsiTheme="majorBidi" w:cstheme="majorBidi"/>
          <w:bCs/>
        </w:rPr>
        <w:t>précédemment, à savoir</w:t>
      </w:r>
      <w:r w:rsidRPr="00210320">
        <w:rPr>
          <w:rFonts w:asciiTheme="majorBidi" w:hAnsiTheme="majorBidi" w:cstheme="majorBidi"/>
          <w:bCs/>
        </w:rPr>
        <w:t>: Casablanca</w:t>
      </w:r>
      <w:r>
        <w:rPr>
          <w:rFonts w:asciiTheme="majorBidi" w:hAnsiTheme="majorBidi" w:cstheme="majorBidi"/>
          <w:bCs/>
        </w:rPr>
        <w:t xml:space="preserve"> (14,5%)</w:t>
      </w:r>
      <w:r w:rsidRPr="00210320">
        <w:rPr>
          <w:rFonts w:asciiTheme="majorBidi" w:hAnsiTheme="majorBidi" w:cstheme="majorBidi"/>
          <w:bCs/>
        </w:rPr>
        <w:t>, Fès</w:t>
      </w:r>
      <w:r>
        <w:rPr>
          <w:rFonts w:asciiTheme="majorBidi" w:hAnsiTheme="majorBidi" w:cstheme="majorBidi"/>
          <w:bCs/>
        </w:rPr>
        <w:t xml:space="preserve"> (13%)</w:t>
      </w:r>
      <w:r w:rsidRPr="00210320">
        <w:rPr>
          <w:rFonts w:asciiTheme="majorBidi" w:hAnsiTheme="majorBidi" w:cstheme="majorBidi"/>
          <w:bCs/>
        </w:rPr>
        <w:t>, Tanger</w:t>
      </w:r>
      <w:r>
        <w:rPr>
          <w:rFonts w:asciiTheme="majorBidi" w:hAnsiTheme="majorBidi" w:cstheme="majorBidi"/>
          <w:bCs/>
        </w:rPr>
        <w:t xml:space="preserve"> (12,5%)</w:t>
      </w:r>
      <w:r w:rsidRPr="00210320">
        <w:rPr>
          <w:rFonts w:asciiTheme="majorBidi" w:hAnsiTheme="majorBidi" w:cstheme="majorBidi"/>
          <w:bCs/>
        </w:rPr>
        <w:t xml:space="preserve">, </w:t>
      </w:r>
      <w:r>
        <w:rPr>
          <w:rFonts w:asciiTheme="majorBidi" w:hAnsiTheme="majorBidi" w:cstheme="majorBidi"/>
          <w:bCs/>
        </w:rPr>
        <w:t>Salé (10%)</w:t>
      </w:r>
      <w:r w:rsidRPr="00210320">
        <w:rPr>
          <w:rFonts w:asciiTheme="majorBidi" w:hAnsiTheme="majorBidi" w:cstheme="majorBidi"/>
          <w:bCs/>
        </w:rPr>
        <w:t xml:space="preserve">, </w:t>
      </w:r>
      <w:r>
        <w:rPr>
          <w:rFonts w:asciiTheme="majorBidi" w:hAnsiTheme="majorBidi" w:cstheme="majorBidi"/>
          <w:bCs/>
        </w:rPr>
        <w:t xml:space="preserve">Meknès (10%), </w:t>
      </w:r>
      <w:r w:rsidRPr="00210320">
        <w:rPr>
          <w:rFonts w:asciiTheme="majorBidi" w:hAnsiTheme="majorBidi" w:cstheme="majorBidi"/>
          <w:bCs/>
        </w:rPr>
        <w:t>Rabat</w:t>
      </w:r>
      <w:r>
        <w:rPr>
          <w:rFonts w:asciiTheme="majorBidi" w:hAnsiTheme="majorBidi" w:cstheme="majorBidi"/>
          <w:bCs/>
        </w:rPr>
        <w:t xml:space="preserve"> (9,3%) et </w:t>
      </w:r>
      <w:r w:rsidRPr="00210320">
        <w:rPr>
          <w:rFonts w:asciiTheme="majorBidi" w:hAnsiTheme="majorBidi" w:cstheme="majorBidi"/>
          <w:bCs/>
        </w:rPr>
        <w:lastRenderedPageBreak/>
        <w:t>Marrakech</w:t>
      </w:r>
      <w:r>
        <w:rPr>
          <w:rFonts w:asciiTheme="majorBidi" w:hAnsiTheme="majorBidi" w:cstheme="majorBidi"/>
          <w:bCs/>
        </w:rPr>
        <w:t xml:space="preserve"> (9%)</w:t>
      </w:r>
      <w:r w:rsidRPr="00210320">
        <w:rPr>
          <w:rFonts w:asciiTheme="majorBidi" w:hAnsiTheme="majorBidi" w:cstheme="majorBidi"/>
          <w:bCs/>
        </w:rPr>
        <w:t xml:space="preserve">. En considérant </w:t>
      </w:r>
      <w:r>
        <w:rPr>
          <w:rFonts w:asciiTheme="majorBidi" w:hAnsiTheme="majorBidi" w:cstheme="majorBidi"/>
          <w:bCs/>
        </w:rPr>
        <w:t xml:space="preserve">cette fois </w:t>
      </w:r>
      <w:r w:rsidRPr="00210320">
        <w:rPr>
          <w:rFonts w:asciiTheme="majorBidi" w:hAnsiTheme="majorBidi" w:cstheme="majorBidi"/>
          <w:bCs/>
        </w:rPr>
        <w:t xml:space="preserve">les strates d'habitat </w:t>
      </w:r>
      <w:r>
        <w:rPr>
          <w:rFonts w:asciiTheme="majorBidi" w:hAnsiTheme="majorBidi" w:cstheme="majorBidi"/>
          <w:bCs/>
        </w:rPr>
        <w:t xml:space="preserve">de </w:t>
      </w:r>
      <w:r w:rsidRPr="00210320">
        <w:rPr>
          <w:rFonts w:asciiTheme="majorBidi" w:hAnsiTheme="majorBidi" w:cstheme="majorBidi"/>
          <w:bCs/>
        </w:rPr>
        <w:t xml:space="preserve">l'ensemble de ces </w:t>
      </w:r>
      <w:r>
        <w:rPr>
          <w:rFonts w:asciiTheme="majorBidi" w:hAnsiTheme="majorBidi" w:cstheme="majorBidi"/>
          <w:bCs/>
        </w:rPr>
        <w:t>villes</w:t>
      </w:r>
      <w:r w:rsidRPr="00210320">
        <w:rPr>
          <w:rFonts w:asciiTheme="majorBidi" w:hAnsiTheme="majorBidi" w:cstheme="majorBidi"/>
          <w:bCs/>
        </w:rPr>
        <w:t xml:space="preserve">, la strate bidonville compte la part la plus élevée avec près du tiers de ses ménages </w:t>
      </w:r>
      <w:r w:rsidRPr="00625E8F">
        <w:rPr>
          <w:rFonts w:asciiTheme="majorBidi" w:hAnsiTheme="majorBidi" w:cstheme="majorBidi"/>
          <w:bCs/>
        </w:rPr>
        <w:t>vivant dans des logements sur-occupés</w:t>
      </w:r>
      <w:r w:rsidRPr="00210320">
        <w:rPr>
          <w:rFonts w:asciiTheme="majorBidi" w:hAnsiTheme="majorBidi" w:cstheme="majorBidi"/>
          <w:bCs/>
        </w:rPr>
        <w:t>, suivie du sommaire (19,3%)</w:t>
      </w:r>
      <w:r>
        <w:rPr>
          <w:rFonts w:asciiTheme="majorBidi" w:hAnsiTheme="majorBidi" w:cstheme="majorBidi"/>
          <w:bCs/>
        </w:rPr>
        <w:t>,</w:t>
      </w:r>
      <w:r w:rsidRPr="00210320">
        <w:rPr>
          <w:rFonts w:asciiTheme="majorBidi" w:hAnsiTheme="majorBidi" w:cstheme="majorBidi"/>
          <w:bCs/>
        </w:rPr>
        <w:t xml:space="preserve"> anciennes médinas (17,2%)</w:t>
      </w:r>
      <w:r>
        <w:rPr>
          <w:rFonts w:asciiTheme="majorBidi" w:hAnsiTheme="majorBidi" w:cstheme="majorBidi"/>
          <w:bCs/>
        </w:rPr>
        <w:t xml:space="preserve"> et </w:t>
      </w:r>
      <w:r w:rsidRPr="00210320">
        <w:rPr>
          <w:rFonts w:asciiTheme="majorBidi" w:hAnsiTheme="majorBidi" w:cstheme="majorBidi"/>
          <w:bCs/>
        </w:rPr>
        <w:t xml:space="preserve">l'économique et social </w:t>
      </w:r>
      <w:r>
        <w:rPr>
          <w:rFonts w:asciiTheme="majorBidi" w:hAnsiTheme="majorBidi" w:cstheme="majorBidi"/>
          <w:bCs/>
        </w:rPr>
        <w:t xml:space="preserve">(12,5%) </w:t>
      </w:r>
      <w:r w:rsidRPr="00210320">
        <w:rPr>
          <w:rFonts w:asciiTheme="majorBidi" w:hAnsiTheme="majorBidi" w:cstheme="majorBidi"/>
          <w:bCs/>
        </w:rPr>
        <w:t>.</w:t>
      </w:r>
    </w:p>
    <w:p w:rsidR="00FF02E2" w:rsidRDefault="00FF02E2" w:rsidP="00FF02E2">
      <w:pPr>
        <w:spacing w:before="120" w:after="120" w:line="240" w:lineRule="auto"/>
        <w:jc w:val="both"/>
        <w:rPr>
          <w:rFonts w:asciiTheme="majorBidi" w:hAnsiTheme="majorBidi" w:cstheme="majorBidi"/>
          <w:bCs/>
        </w:rPr>
      </w:pPr>
      <w:r>
        <w:rPr>
          <w:rFonts w:asciiTheme="majorBidi" w:hAnsiTheme="majorBidi" w:cstheme="majorBidi"/>
          <w:bCs/>
        </w:rPr>
        <w:t>A titre d'illustration, une cartographie des logements sur-occupés au sein de la ville de Casablanca par district de recensement et par strate d’habitat est présentée dans ce qui suit :</w:t>
      </w:r>
    </w:p>
    <w:p w:rsidR="0073245A" w:rsidRPr="00210320" w:rsidRDefault="00D10D71" w:rsidP="0073245A">
      <w:pPr>
        <w:spacing w:before="120" w:after="120" w:line="240" w:lineRule="auto"/>
        <w:jc w:val="center"/>
        <w:rPr>
          <w:rFonts w:asciiTheme="majorBidi" w:hAnsiTheme="majorBidi" w:cstheme="majorBidi"/>
          <w:b/>
        </w:rPr>
      </w:pPr>
      <w:r w:rsidRPr="00D10D71">
        <w:rPr>
          <w:rFonts w:asciiTheme="majorBidi" w:hAnsiTheme="majorBidi" w:cstheme="majorBidi"/>
          <w:b/>
          <w:noProof/>
          <w:lang w:eastAsia="fr-FR"/>
        </w:rPr>
        <w:drawing>
          <wp:inline distT="0" distB="0" distL="0" distR="0">
            <wp:extent cx="2864395" cy="4785173"/>
            <wp:effectExtent l="19050" t="0" r="0" b="0"/>
            <wp:docPr id="3" name="Image 1" descr="C:\Users\hp\Downloads\TO-Strate_Casa.jpg"/>
            <wp:cNvGraphicFramePr/>
            <a:graphic xmlns:a="http://schemas.openxmlformats.org/drawingml/2006/main">
              <a:graphicData uri="http://schemas.openxmlformats.org/drawingml/2006/picture">
                <pic:pic xmlns:pic="http://schemas.openxmlformats.org/drawingml/2006/picture">
                  <pic:nvPicPr>
                    <pic:cNvPr id="0" name="Picture 3" descr="C:\Users\hp\Downloads\TO-Strate_Casa.jpg"/>
                    <pic:cNvPicPr>
                      <a:picLocks noChangeAspect="1" noChangeArrowheads="1"/>
                    </pic:cNvPicPr>
                  </pic:nvPicPr>
                  <pic:blipFill>
                    <a:blip r:embed="rId14" cstate="print"/>
                    <a:srcRect/>
                    <a:stretch>
                      <a:fillRect/>
                    </a:stretch>
                  </pic:blipFill>
                  <pic:spPr bwMode="auto">
                    <a:xfrm>
                      <a:off x="0" y="0"/>
                      <a:ext cx="2865678" cy="4787316"/>
                    </a:xfrm>
                    <a:prstGeom prst="rect">
                      <a:avLst/>
                    </a:prstGeom>
                    <a:noFill/>
                    <a:ln w="9525">
                      <a:noFill/>
                      <a:miter lim="800000"/>
                      <a:headEnd/>
                      <a:tailEnd/>
                    </a:ln>
                  </pic:spPr>
                </pic:pic>
              </a:graphicData>
            </a:graphic>
          </wp:inline>
        </w:drawing>
      </w:r>
    </w:p>
    <w:p w:rsidR="00C579AC" w:rsidRPr="00725FB4" w:rsidRDefault="00FF02E2" w:rsidP="00050098">
      <w:pPr>
        <w:pStyle w:val="Paragraphedeliste"/>
        <w:spacing w:before="240" w:after="120" w:line="264" w:lineRule="auto"/>
        <w:ind w:left="0"/>
        <w:contextualSpacing w:val="0"/>
        <w:jc w:val="both"/>
        <w:rPr>
          <w:rFonts w:asciiTheme="majorBidi" w:hAnsiTheme="majorBidi" w:cstheme="majorBidi"/>
          <w:bCs/>
        </w:rPr>
      </w:pPr>
      <w:r w:rsidRPr="00BE44F2">
        <w:rPr>
          <w:rFonts w:asciiTheme="majorBidi" w:hAnsiTheme="majorBidi" w:cstheme="majorBidi"/>
          <w:bCs/>
        </w:rPr>
        <w:t>En conclusion</w:t>
      </w:r>
      <w:r>
        <w:rPr>
          <w:rFonts w:asciiTheme="majorBidi" w:hAnsiTheme="majorBidi" w:cstheme="majorBidi"/>
          <w:bCs/>
        </w:rPr>
        <w:t xml:space="preserve">, cette note succincte confirme que, toutes choses égales par ailleurs, c’est dans </w:t>
      </w:r>
      <w:r w:rsidRPr="00BE44F2">
        <w:rPr>
          <w:rFonts w:asciiTheme="majorBidi" w:hAnsiTheme="majorBidi" w:cstheme="majorBidi"/>
          <w:bCs/>
        </w:rPr>
        <w:t>les grandes villes où le risque de propagation du virus</w:t>
      </w:r>
      <w:r>
        <w:rPr>
          <w:rFonts w:asciiTheme="majorBidi" w:hAnsiTheme="majorBidi" w:cstheme="majorBidi"/>
          <w:bCs/>
        </w:rPr>
        <w:t xml:space="preserve"> serait</w:t>
      </w:r>
      <w:r w:rsidRPr="00BE44F2">
        <w:rPr>
          <w:rFonts w:asciiTheme="majorBidi" w:hAnsiTheme="majorBidi" w:cstheme="majorBidi"/>
          <w:bCs/>
        </w:rPr>
        <w:t xml:space="preserve"> le plus grand</w:t>
      </w:r>
      <w:r w:rsidR="00F80AFE">
        <w:rPr>
          <w:rFonts w:asciiTheme="majorBidi" w:hAnsiTheme="majorBidi" w:cstheme="majorBidi"/>
          <w:bCs/>
        </w:rPr>
        <w:t xml:space="preserve"> et ce, </w:t>
      </w:r>
      <w:r>
        <w:rPr>
          <w:rFonts w:asciiTheme="majorBidi" w:hAnsiTheme="majorBidi" w:cstheme="majorBidi"/>
          <w:bCs/>
        </w:rPr>
        <w:t>eu égard à deux facteurs de risque (densité et sur-occupation des log</w:t>
      </w:r>
      <w:r w:rsidR="008B7840">
        <w:rPr>
          <w:rFonts w:asciiTheme="majorBidi" w:hAnsiTheme="majorBidi" w:cstheme="majorBidi"/>
          <w:bCs/>
        </w:rPr>
        <w:t>ements). Au sein de ces villes c</w:t>
      </w:r>
      <w:r>
        <w:rPr>
          <w:rFonts w:asciiTheme="majorBidi" w:hAnsiTheme="majorBidi" w:cstheme="majorBidi"/>
          <w:bCs/>
        </w:rPr>
        <w:t xml:space="preserve">e sont les </w:t>
      </w:r>
      <w:r w:rsidRPr="00BE44F2">
        <w:rPr>
          <w:rFonts w:asciiTheme="majorBidi" w:hAnsiTheme="majorBidi" w:cstheme="majorBidi"/>
          <w:bCs/>
        </w:rPr>
        <w:t xml:space="preserve">strates d'habitat </w:t>
      </w:r>
      <w:r w:rsidRPr="00210320">
        <w:rPr>
          <w:rFonts w:asciiTheme="majorBidi" w:hAnsiTheme="majorBidi" w:cstheme="majorBidi"/>
          <w:bCs/>
        </w:rPr>
        <w:t>ancienne médina</w:t>
      </w:r>
      <w:r>
        <w:rPr>
          <w:rFonts w:asciiTheme="majorBidi" w:hAnsiTheme="majorBidi" w:cstheme="majorBidi"/>
          <w:bCs/>
        </w:rPr>
        <w:t xml:space="preserve">, </w:t>
      </w:r>
      <w:r w:rsidRPr="00210320">
        <w:rPr>
          <w:rFonts w:asciiTheme="majorBidi" w:hAnsiTheme="majorBidi" w:cstheme="majorBidi"/>
          <w:bCs/>
        </w:rPr>
        <w:t>économique et social</w:t>
      </w:r>
      <w:r>
        <w:rPr>
          <w:rFonts w:asciiTheme="majorBidi" w:hAnsiTheme="majorBidi" w:cstheme="majorBidi"/>
          <w:bCs/>
        </w:rPr>
        <w:t xml:space="preserve"> en plus de la </w:t>
      </w:r>
      <w:r w:rsidRPr="00210320">
        <w:rPr>
          <w:rFonts w:asciiTheme="majorBidi" w:hAnsiTheme="majorBidi" w:cstheme="majorBidi"/>
          <w:bCs/>
        </w:rPr>
        <w:t xml:space="preserve">strate des bidonvilles </w:t>
      </w:r>
      <w:r>
        <w:rPr>
          <w:rFonts w:asciiTheme="majorBidi" w:hAnsiTheme="majorBidi" w:cstheme="majorBidi"/>
          <w:bCs/>
        </w:rPr>
        <w:t xml:space="preserve">qui présentent le risque </w:t>
      </w:r>
      <w:r w:rsidRPr="00725FB4">
        <w:rPr>
          <w:rFonts w:asciiTheme="majorBidi" w:hAnsiTheme="majorBidi" w:cstheme="majorBidi"/>
          <w:bCs/>
        </w:rPr>
        <w:t>de contamination</w:t>
      </w:r>
      <w:r>
        <w:rPr>
          <w:rFonts w:asciiTheme="majorBidi" w:hAnsiTheme="majorBidi" w:cstheme="majorBidi"/>
          <w:bCs/>
        </w:rPr>
        <w:t xml:space="preserve"> le plus élevé que ce soit en termes de densité de population ou de sur-occupation des logements</w:t>
      </w:r>
      <w:r w:rsidRPr="00725FB4">
        <w:rPr>
          <w:rFonts w:asciiTheme="majorBidi" w:hAnsiTheme="majorBidi" w:cstheme="majorBidi"/>
          <w:bCs/>
        </w:rPr>
        <w:t>.</w:t>
      </w:r>
      <w:r w:rsidR="00C402CD">
        <w:rPr>
          <w:rFonts w:asciiTheme="majorBidi" w:hAnsiTheme="majorBidi" w:cstheme="majorBidi"/>
          <w:bCs/>
        </w:rPr>
        <w:t xml:space="preserve">    </w:t>
      </w:r>
    </w:p>
    <w:sectPr w:rsidR="00C579AC" w:rsidRPr="00725FB4" w:rsidSect="00A363A6">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42C" w:rsidRDefault="000F242C" w:rsidP="00FC0A9D">
      <w:pPr>
        <w:spacing w:after="0" w:line="240" w:lineRule="auto"/>
      </w:pPr>
      <w:r>
        <w:separator/>
      </w:r>
    </w:p>
  </w:endnote>
  <w:endnote w:type="continuationSeparator" w:id="1">
    <w:p w:rsidR="000F242C" w:rsidRDefault="000F242C" w:rsidP="00FC0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039"/>
      <w:docPartObj>
        <w:docPartGallery w:val="Page Numbers (Bottom of Page)"/>
        <w:docPartUnique/>
      </w:docPartObj>
    </w:sdtPr>
    <w:sdtContent>
      <w:p w:rsidR="006B08B3" w:rsidRDefault="009861A2">
        <w:pPr>
          <w:pStyle w:val="Pieddepage"/>
          <w:jc w:val="right"/>
        </w:pPr>
        <w:r>
          <w:fldChar w:fldCharType="begin"/>
        </w:r>
        <w:r w:rsidR="006B08B3">
          <w:instrText xml:space="preserve"> PAGE   \* MERGEFORMAT </w:instrText>
        </w:r>
        <w:r>
          <w:fldChar w:fldCharType="separate"/>
        </w:r>
        <w:r w:rsidR="00FB5395">
          <w:rPr>
            <w:noProof/>
          </w:rPr>
          <w:t>5</w:t>
        </w:r>
        <w:r>
          <w:rPr>
            <w:noProof/>
          </w:rPr>
          <w:fldChar w:fldCharType="end"/>
        </w:r>
      </w:p>
    </w:sdtContent>
  </w:sdt>
  <w:p w:rsidR="006B08B3" w:rsidRDefault="006B08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42C" w:rsidRDefault="000F242C" w:rsidP="00FC0A9D">
      <w:pPr>
        <w:spacing w:after="0" w:line="240" w:lineRule="auto"/>
      </w:pPr>
      <w:r>
        <w:separator/>
      </w:r>
    </w:p>
  </w:footnote>
  <w:footnote w:type="continuationSeparator" w:id="1">
    <w:p w:rsidR="000F242C" w:rsidRDefault="000F242C" w:rsidP="00FC0A9D">
      <w:pPr>
        <w:spacing w:after="0" w:line="240" w:lineRule="auto"/>
      </w:pPr>
      <w:r>
        <w:continuationSeparator/>
      </w:r>
    </w:p>
  </w:footnote>
  <w:footnote w:id="2">
    <w:p w:rsidR="006B08B3" w:rsidRPr="007A5359" w:rsidRDefault="006B08B3" w:rsidP="00030D4F">
      <w:pPr>
        <w:pStyle w:val="Notedebasdepage"/>
        <w:rPr>
          <w:rFonts w:asciiTheme="majorBidi" w:hAnsiTheme="majorBidi" w:cstheme="majorBidi"/>
        </w:rPr>
      </w:pPr>
      <w:r w:rsidRPr="007A5359">
        <w:rPr>
          <w:rStyle w:val="Appelnotedebasdep"/>
          <w:rFonts w:asciiTheme="majorBidi" w:hAnsiTheme="majorBidi" w:cstheme="majorBidi"/>
        </w:rPr>
        <w:footnoteRef/>
      </w:r>
      <w:r w:rsidRPr="007A5359">
        <w:rPr>
          <w:rFonts w:asciiTheme="majorBidi" w:hAnsiTheme="majorBidi" w:cstheme="majorBidi"/>
        </w:rPr>
        <w:t xml:space="preserve"> On trouve un lien statistique positif entre la part de la population active dans le secteur industriel et le nombre de contamination</w:t>
      </w:r>
      <w:r>
        <w:rPr>
          <w:rFonts w:asciiTheme="majorBidi" w:hAnsiTheme="majorBidi" w:cstheme="majorBidi"/>
        </w:rPr>
        <w:t xml:space="preserve"> par région</w:t>
      </w:r>
      <w:r w:rsidRPr="007A5359">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3" w:rsidRDefault="009861A2">
    <w:pPr>
      <w:pStyle w:val="En-tte"/>
    </w:pPr>
    <w:r>
      <w:rPr>
        <w:noProof/>
        <w:lang w:eastAsia="fr-FR"/>
      </w:rPr>
      <w:pict>
        <v:rect id="_x0000_s2049" style="position:absolute;margin-left:-107.95pt;margin-top:-36.5pt;width:685.25pt;height:431.25pt;z-index:-251658752" o:preferrelative="t" filled="f" stroked="f" insetpen="t" o:cliptowrap="t">
          <v:imagedata r:id="rId1" o:title=""/>
          <v:path o:extrusionok="f"/>
          <o:lock v:ext="edit" aspectratio="t"/>
          <w10:wrap anchorx="page"/>
        </v:rect>
        <o:OLEObject Type="Embed" ProgID="PBrush" ShapeID="_x0000_s2049" DrawAspect="Content" ObjectID="_1652008931"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10320"/>
    <w:rsid w:val="00005014"/>
    <w:rsid w:val="00005831"/>
    <w:rsid w:val="000262A1"/>
    <w:rsid w:val="00027E01"/>
    <w:rsid w:val="00030D4F"/>
    <w:rsid w:val="00037C5C"/>
    <w:rsid w:val="0004413D"/>
    <w:rsid w:val="00050098"/>
    <w:rsid w:val="00083896"/>
    <w:rsid w:val="00095600"/>
    <w:rsid w:val="000B1ACF"/>
    <w:rsid w:val="000C2524"/>
    <w:rsid w:val="000E0B13"/>
    <w:rsid w:val="000F0870"/>
    <w:rsid w:val="000F242C"/>
    <w:rsid w:val="001304E3"/>
    <w:rsid w:val="00137D90"/>
    <w:rsid w:val="001402F9"/>
    <w:rsid w:val="00146CFC"/>
    <w:rsid w:val="00147146"/>
    <w:rsid w:val="00152231"/>
    <w:rsid w:val="00153846"/>
    <w:rsid w:val="00165F9A"/>
    <w:rsid w:val="001833B0"/>
    <w:rsid w:val="00194048"/>
    <w:rsid w:val="001A3B81"/>
    <w:rsid w:val="001B440E"/>
    <w:rsid w:val="001B593D"/>
    <w:rsid w:val="001C3AEC"/>
    <w:rsid w:val="001D247F"/>
    <w:rsid w:val="001E459A"/>
    <w:rsid w:val="001F1867"/>
    <w:rsid w:val="001F25F3"/>
    <w:rsid w:val="001F4206"/>
    <w:rsid w:val="00210320"/>
    <w:rsid w:val="00211E6F"/>
    <w:rsid w:val="00216249"/>
    <w:rsid w:val="00225486"/>
    <w:rsid w:val="0026544A"/>
    <w:rsid w:val="002A0184"/>
    <w:rsid w:val="002B701E"/>
    <w:rsid w:val="002B7E49"/>
    <w:rsid w:val="002C4102"/>
    <w:rsid w:val="002C4F7F"/>
    <w:rsid w:val="002C52EA"/>
    <w:rsid w:val="002D4141"/>
    <w:rsid w:val="002D7909"/>
    <w:rsid w:val="002E71F5"/>
    <w:rsid w:val="002F7003"/>
    <w:rsid w:val="003011C5"/>
    <w:rsid w:val="00311F0A"/>
    <w:rsid w:val="0031611C"/>
    <w:rsid w:val="0032604C"/>
    <w:rsid w:val="00347A8F"/>
    <w:rsid w:val="003524B6"/>
    <w:rsid w:val="003527E4"/>
    <w:rsid w:val="00356CBC"/>
    <w:rsid w:val="00393FFC"/>
    <w:rsid w:val="003B01D6"/>
    <w:rsid w:val="003B1F50"/>
    <w:rsid w:val="003E559F"/>
    <w:rsid w:val="004278EA"/>
    <w:rsid w:val="004300AB"/>
    <w:rsid w:val="00432BCE"/>
    <w:rsid w:val="004333C5"/>
    <w:rsid w:val="00447FBD"/>
    <w:rsid w:val="00453177"/>
    <w:rsid w:val="00453214"/>
    <w:rsid w:val="00456183"/>
    <w:rsid w:val="004750EC"/>
    <w:rsid w:val="004C01B8"/>
    <w:rsid w:val="004C03DF"/>
    <w:rsid w:val="004D5748"/>
    <w:rsid w:val="004D59BD"/>
    <w:rsid w:val="00501844"/>
    <w:rsid w:val="00502D3C"/>
    <w:rsid w:val="00537A22"/>
    <w:rsid w:val="00551885"/>
    <w:rsid w:val="00551D84"/>
    <w:rsid w:val="00560FA6"/>
    <w:rsid w:val="0056746F"/>
    <w:rsid w:val="005A79A1"/>
    <w:rsid w:val="005B0A44"/>
    <w:rsid w:val="005D34E3"/>
    <w:rsid w:val="005E7A8E"/>
    <w:rsid w:val="00612E2D"/>
    <w:rsid w:val="0061304F"/>
    <w:rsid w:val="00613167"/>
    <w:rsid w:val="00613BB6"/>
    <w:rsid w:val="00623DB6"/>
    <w:rsid w:val="00624376"/>
    <w:rsid w:val="00625E8F"/>
    <w:rsid w:val="00646F74"/>
    <w:rsid w:val="00657DFC"/>
    <w:rsid w:val="00662D21"/>
    <w:rsid w:val="00674012"/>
    <w:rsid w:val="006812A1"/>
    <w:rsid w:val="006A5EEC"/>
    <w:rsid w:val="006B08B3"/>
    <w:rsid w:val="006C3E6F"/>
    <w:rsid w:val="006C50E4"/>
    <w:rsid w:val="006C6843"/>
    <w:rsid w:val="006D4368"/>
    <w:rsid w:val="006E6E6A"/>
    <w:rsid w:val="006F540F"/>
    <w:rsid w:val="00704807"/>
    <w:rsid w:val="0071333E"/>
    <w:rsid w:val="00724667"/>
    <w:rsid w:val="0072585C"/>
    <w:rsid w:val="00725FB4"/>
    <w:rsid w:val="0073245A"/>
    <w:rsid w:val="007357F3"/>
    <w:rsid w:val="0074206F"/>
    <w:rsid w:val="00742D9D"/>
    <w:rsid w:val="00761FBE"/>
    <w:rsid w:val="007A0684"/>
    <w:rsid w:val="007A1C26"/>
    <w:rsid w:val="007A5359"/>
    <w:rsid w:val="007A553E"/>
    <w:rsid w:val="007B3CA7"/>
    <w:rsid w:val="007E0298"/>
    <w:rsid w:val="007F4DE6"/>
    <w:rsid w:val="00823E1C"/>
    <w:rsid w:val="008515EA"/>
    <w:rsid w:val="008522F8"/>
    <w:rsid w:val="00861A48"/>
    <w:rsid w:val="00864675"/>
    <w:rsid w:val="008733BC"/>
    <w:rsid w:val="008A189D"/>
    <w:rsid w:val="008A485C"/>
    <w:rsid w:val="008A52B0"/>
    <w:rsid w:val="008A6446"/>
    <w:rsid w:val="008B3395"/>
    <w:rsid w:val="008B7190"/>
    <w:rsid w:val="008B7840"/>
    <w:rsid w:val="008C085B"/>
    <w:rsid w:val="009006C2"/>
    <w:rsid w:val="00903141"/>
    <w:rsid w:val="009145A7"/>
    <w:rsid w:val="009230E5"/>
    <w:rsid w:val="00924998"/>
    <w:rsid w:val="009404FF"/>
    <w:rsid w:val="00952F90"/>
    <w:rsid w:val="00965FD6"/>
    <w:rsid w:val="00983203"/>
    <w:rsid w:val="009861A2"/>
    <w:rsid w:val="009911D5"/>
    <w:rsid w:val="00995F13"/>
    <w:rsid w:val="009A275A"/>
    <w:rsid w:val="009C2674"/>
    <w:rsid w:val="009F158A"/>
    <w:rsid w:val="00A12FC3"/>
    <w:rsid w:val="00A22763"/>
    <w:rsid w:val="00A231C3"/>
    <w:rsid w:val="00A363A6"/>
    <w:rsid w:val="00A46D79"/>
    <w:rsid w:val="00A47ABA"/>
    <w:rsid w:val="00A504C1"/>
    <w:rsid w:val="00A66F67"/>
    <w:rsid w:val="00A85CE8"/>
    <w:rsid w:val="00A87F16"/>
    <w:rsid w:val="00A9727D"/>
    <w:rsid w:val="00AA3A18"/>
    <w:rsid w:val="00AB2E80"/>
    <w:rsid w:val="00AB5C01"/>
    <w:rsid w:val="00AB6986"/>
    <w:rsid w:val="00AC15BB"/>
    <w:rsid w:val="00AE78C9"/>
    <w:rsid w:val="00B12CB7"/>
    <w:rsid w:val="00B23710"/>
    <w:rsid w:val="00B271F1"/>
    <w:rsid w:val="00B3288A"/>
    <w:rsid w:val="00B338D4"/>
    <w:rsid w:val="00B50A52"/>
    <w:rsid w:val="00B63C66"/>
    <w:rsid w:val="00B72F4D"/>
    <w:rsid w:val="00BC7F05"/>
    <w:rsid w:val="00BD5BB2"/>
    <w:rsid w:val="00BE0A10"/>
    <w:rsid w:val="00BE35CE"/>
    <w:rsid w:val="00BE44F2"/>
    <w:rsid w:val="00BF3B17"/>
    <w:rsid w:val="00BF674F"/>
    <w:rsid w:val="00C018AF"/>
    <w:rsid w:val="00C02965"/>
    <w:rsid w:val="00C16C3B"/>
    <w:rsid w:val="00C27A31"/>
    <w:rsid w:val="00C402CD"/>
    <w:rsid w:val="00C579AC"/>
    <w:rsid w:val="00C72B7E"/>
    <w:rsid w:val="00C7795B"/>
    <w:rsid w:val="00C92F52"/>
    <w:rsid w:val="00CE3202"/>
    <w:rsid w:val="00CF1276"/>
    <w:rsid w:val="00CF7012"/>
    <w:rsid w:val="00D10D71"/>
    <w:rsid w:val="00D13B62"/>
    <w:rsid w:val="00D15AA1"/>
    <w:rsid w:val="00D17710"/>
    <w:rsid w:val="00D5019C"/>
    <w:rsid w:val="00D52763"/>
    <w:rsid w:val="00D5533D"/>
    <w:rsid w:val="00D853EE"/>
    <w:rsid w:val="00D924C0"/>
    <w:rsid w:val="00DA090C"/>
    <w:rsid w:val="00DA0D7D"/>
    <w:rsid w:val="00DF0392"/>
    <w:rsid w:val="00E0164C"/>
    <w:rsid w:val="00E04778"/>
    <w:rsid w:val="00E17056"/>
    <w:rsid w:val="00E212A1"/>
    <w:rsid w:val="00E22EF0"/>
    <w:rsid w:val="00E34532"/>
    <w:rsid w:val="00E45065"/>
    <w:rsid w:val="00E64099"/>
    <w:rsid w:val="00E73A4D"/>
    <w:rsid w:val="00E77CFA"/>
    <w:rsid w:val="00E946E6"/>
    <w:rsid w:val="00E97C0B"/>
    <w:rsid w:val="00EA1D5A"/>
    <w:rsid w:val="00EA603D"/>
    <w:rsid w:val="00EA70CF"/>
    <w:rsid w:val="00EB0704"/>
    <w:rsid w:val="00EB0F9D"/>
    <w:rsid w:val="00EB136E"/>
    <w:rsid w:val="00ED1F17"/>
    <w:rsid w:val="00EE0A08"/>
    <w:rsid w:val="00F23590"/>
    <w:rsid w:val="00F30EEE"/>
    <w:rsid w:val="00F40F33"/>
    <w:rsid w:val="00F4253D"/>
    <w:rsid w:val="00F517FD"/>
    <w:rsid w:val="00F565BC"/>
    <w:rsid w:val="00F773C0"/>
    <w:rsid w:val="00F80AFE"/>
    <w:rsid w:val="00F830A5"/>
    <w:rsid w:val="00F8376E"/>
    <w:rsid w:val="00FA2A69"/>
    <w:rsid w:val="00FB5395"/>
    <w:rsid w:val="00FB73CC"/>
    <w:rsid w:val="00FC0A9D"/>
    <w:rsid w:val="00FE13E8"/>
    <w:rsid w:val="00FE4677"/>
    <w:rsid w:val="00FF02E2"/>
    <w:rsid w:val="00FF5C6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10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320"/>
    <w:rPr>
      <w:rFonts w:asciiTheme="majorHAnsi" w:eastAsiaTheme="majorEastAsia" w:hAnsiTheme="majorHAnsi" w:cstheme="majorBidi"/>
      <w:spacing w:val="-10"/>
      <w:kern w:val="28"/>
      <w:sz w:val="56"/>
      <w:szCs w:val="56"/>
    </w:rPr>
  </w:style>
  <w:style w:type="character" w:customStyle="1" w:styleId="ParagraphedelisteCar">
    <w:name w:val="Paragraphe de liste Car"/>
    <w:basedOn w:val="Policepardfaut"/>
    <w:link w:val="Paragraphedeliste"/>
    <w:uiPriority w:val="34"/>
    <w:locked/>
    <w:rsid w:val="00210320"/>
    <w:rPr>
      <w:rFonts w:ascii="Calibri" w:eastAsia="Calibri" w:hAnsi="Calibri" w:cs="Arial"/>
    </w:rPr>
  </w:style>
  <w:style w:type="paragraph" w:styleId="Paragraphedeliste">
    <w:name w:val="List Paragraph"/>
    <w:basedOn w:val="Normal"/>
    <w:link w:val="ParagraphedelisteCar"/>
    <w:uiPriority w:val="34"/>
    <w:qFormat/>
    <w:rsid w:val="00210320"/>
    <w:pPr>
      <w:ind w:left="720"/>
      <w:contextualSpacing/>
    </w:pPr>
    <w:rPr>
      <w:rFonts w:ascii="Calibri" w:eastAsia="Calibri" w:hAnsi="Calibri" w:cs="Arial"/>
    </w:rPr>
  </w:style>
  <w:style w:type="paragraph" w:styleId="Textedebulles">
    <w:name w:val="Balloon Text"/>
    <w:basedOn w:val="Normal"/>
    <w:link w:val="TextedebullesCar"/>
    <w:uiPriority w:val="99"/>
    <w:semiHidden/>
    <w:unhideWhenUsed/>
    <w:rsid w:val="002103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0320"/>
    <w:rPr>
      <w:rFonts w:ascii="Tahoma" w:hAnsi="Tahoma" w:cs="Tahoma"/>
      <w:sz w:val="16"/>
      <w:szCs w:val="16"/>
    </w:rPr>
  </w:style>
  <w:style w:type="character" w:customStyle="1" w:styleId="link-wrapper">
    <w:name w:val="link-wrapper"/>
    <w:basedOn w:val="Policepardfaut"/>
    <w:rsid w:val="00447FBD"/>
  </w:style>
  <w:style w:type="paragraph" w:styleId="En-tte">
    <w:name w:val="header"/>
    <w:basedOn w:val="Normal"/>
    <w:link w:val="En-tteCar"/>
    <w:uiPriority w:val="99"/>
    <w:unhideWhenUsed/>
    <w:rsid w:val="00FC0A9D"/>
    <w:pPr>
      <w:tabs>
        <w:tab w:val="center" w:pos="4536"/>
        <w:tab w:val="right" w:pos="9072"/>
      </w:tabs>
      <w:spacing w:after="0" w:line="240" w:lineRule="auto"/>
    </w:pPr>
  </w:style>
  <w:style w:type="character" w:customStyle="1" w:styleId="En-tteCar">
    <w:name w:val="En-tête Car"/>
    <w:basedOn w:val="Policepardfaut"/>
    <w:link w:val="En-tte"/>
    <w:uiPriority w:val="99"/>
    <w:rsid w:val="00FC0A9D"/>
  </w:style>
  <w:style w:type="paragraph" w:styleId="Pieddepage">
    <w:name w:val="footer"/>
    <w:basedOn w:val="Normal"/>
    <w:link w:val="PieddepageCar"/>
    <w:uiPriority w:val="99"/>
    <w:unhideWhenUsed/>
    <w:rsid w:val="00FC0A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A9D"/>
  </w:style>
  <w:style w:type="paragraph" w:styleId="Notedebasdepage">
    <w:name w:val="footnote text"/>
    <w:basedOn w:val="Normal"/>
    <w:link w:val="NotedebasdepageCar"/>
    <w:uiPriority w:val="99"/>
    <w:semiHidden/>
    <w:unhideWhenUsed/>
    <w:rsid w:val="00646F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6F74"/>
    <w:rPr>
      <w:sz w:val="20"/>
      <w:szCs w:val="20"/>
    </w:rPr>
  </w:style>
  <w:style w:type="character" w:styleId="Appelnotedebasdep">
    <w:name w:val="footnote reference"/>
    <w:basedOn w:val="Policepardfaut"/>
    <w:uiPriority w:val="99"/>
    <w:semiHidden/>
    <w:unhideWhenUsed/>
    <w:rsid w:val="00646F74"/>
    <w:rPr>
      <w:vertAlign w:val="superscript"/>
    </w:rPr>
  </w:style>
  <w:style w:type="character" w:styleId="Marquedecommentaire">
    <w:name w:val="annotation reference"/>
    <w:basedOn w:val="Policepardfaut"/>
    <w:uiPriority w:val="99"/>
    <w:semiHidden/>
    <w:unhideWhenUsed/>
    <w:rsid w:val="00F23590"/>
    <w:rPr>
      <w:sz w:val="16"/>
      <w:szCs w:val="16"/>
    </w:rPr>
  </w:style>
  <w:style w:type="paragraph" w:styleId="Commentaire">
    <w:name w:val="annotation text"/>
    <w:basedOn w:val="Normal"/>
    <w:link w:val="CommentaireCar"/>
    <w:uiPriority w:val="99"/>
    <w:semiHidden/>
    <w:unhideWhenUsed/>
    <w:rsid w:val="00F23590"/>
    <w:pPr>
      <w:spacing w:line="240" w:lineRule="auto"/>
    </w:pPr>
    <w:rPr>
      <w:sz w:val="20"/>
      <w:szCs w:val="20"/>
    </w:rPr>
  </w:style>
  <w:style w:type="character" w:customStyle="1" w:styleId="CommentaireCar">
    <w:name w:val="Commentaire Car"/>
    <w:basedOn w:val="Policepardfaut"/>
    <w:link w:val="Commentaire"/>
    <w:uiPriority w:val="99"/>
    <w:semiHidden/>
    <w:rsid w:val="00F235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0208">
      <w:bodyDiv w:val="1"/>
      <w:marLeft w:val="0"/>
      <w:marRight w:val="0"/>
      <w:marTop w:val="0"/>
      <w:marBottom w:val="0"/>
      <w:divBdr>
        <w:top w:val="none" w:sz="0" w:space="0" w:color="auto"/>
        <w:left w:val="none" w:sz="0" w:space="0" w:color="auto"/>
        <w:bottom w:val="none" w:sz="0" w:space="0" w:color="auto"/>
        <w:right w:val="none" w:sz="0" w:space="0" w:color="auto"/>
      </w:divBdr>
    </w:div>
    <w:div w:id="238945560">
      <w:bodyDiv w:val="1"/>
      <w:marLeft w:val="0"/>
      <w:marRight w:val="0"/>
      <w:marTop w:val="0"/>
      <w:marBottom w:val="0"/>
      <w:divBdr>
        <w:top w:val="none" w:sz="0" w:space="0" w:color="auto"/>
        <w:left w:val="none" w:sz="0" w:space="0" w:color="auto"/>
        <w:bottom w:val="none" w:sz="0" w:space="0" w:color="auto"/>
        <w:right w:val="none" w:sz="0" w:space="0" w:color="auto"/>
      </w:divBdr>
    </w:div>
    <w:div w:id="429395571">
      <w:bodyDiv w:val="1"/>
      <w:marLeft w:val="0"/>
      <w:marRight w:val="0"/>
      <w:marTop w:val="0"/>
      <w:marBottom w:val="0"/>
      <w:divBdr>
        <w:top w:val="none" w:sz="0" w:space="0" w:color="auto"/>
        <w:left w:val="none" w:sz="0" w:space="0" w:color="auto"/>
        <w:bottom w:val="none" w:sz="0" w:space="0" w:color="auto"/>
        <w:right w:val="none" w:sz="0" w:space="0" w:color="auto"/>
      </w:divBdr>
    </w:div>
    <w:div w:id="613440058">
      <w:bodyDiv w:val="1"/>
      <w:marLeft w:val="0"/>
      <w:marRight w:val="0"/>
      <w:marTop w:val="0"/>
      <w:marBottom w:val="0"/>
      <w:divBdr>
        <w:top w:val="none" w:sz="0" w:space="0" w:color="auto"/>
        <w:left w:val="none" w:sz="0" w:space="0" w:color="auto"/>
        <w:bottom w:val="none" w:sz="0" w:space="0" w:color="auto"/>
        <w:right w:val="none" w:sz="0" w:space="0" w:color="auto"/>
      </w:divBdr>
    </w:div>
    <w:div w:id="690843262">
      <w:bodyDiv w:val="1"/>
      <w:marLeft w:val="0"/>
      <w:marRight w:val="0"/>
      <w:marTop w:val="0"/>
      <w:marBottom w:val="0"/>
      <w:divBdr>
        <w:top w:val="none" w:sz="0" w:space="0" w:color="auto"/>
        <w:left w:val="none" w:sz="0" w:space="0" w:color="auto"/>
        <w:bottom w:val="none" w:sz="0" w:space="0" w:color="auto"/>
        <w:right w:val="none" w:sz="0" w:space="0" w:color="auto"/>
      </w:divBdr>
    </w:div>
    <w:div w:id="693313643">
      <w:bodyDiv w:val="1"/>
      <w:marLeft w:val="0"/>
      <w:marRight w:val="0"/>
      <w:marTop w:val="0"/>
      <w:marBottom w:val="0"/>
      <w:divBdr>
        <w:top w:val="none" w:sz="0" w:space="0" w:color="auto"/>
        <w:left w:val="none" w:sz="0" w:space="0" w:color="auto"/>
        <w:bottom w:val="none" w:sz="0" w:space="0" w:color="auto"/>
        <w:right w:val="none" w:sz="0" w:space="0" w:color="auto"/>
      </w:divBdr>
    </w:div>
    <w:div w:id="807285192">
      <w:bodyDiv w:val="1"/>
      <w:marLeft w:val="0"/>
      <w:marRight w:val="0"/>
      <w:marTop w:val="0"/>
      <w:marBottom w:val="0"/>
      <w:divBdr>
        <w:top w:val="none" w:sz="0" w:space="0" w:color="auto"/>
        <w:left w:val="none" w:sz="0" w:space="0" w:color="auto"/>
        <w:bottom w:val="none" w:sz="0" w:space="0" w:color="auto"/>
        <w:right w:val="none" w:sz="0" w:space="0" w:color="auto"/>
      </w:divBdr>
      <w:divsChild>
        <w:div w:id="228225408">
          <w:marLeft w:val="0"/>
          <w:marRight w:val="0"/>
          <w:marTop w:val="0"/>
          <w:marBottom w:val="0"/>
          <w:divBdr>
            <w:top w:val="none" w:sz="0" w:space="0" w:color="auto"/>
            <w:left w:val="none" w:sz="0" w:space="0" w:color="auto"/>
            <w:bottom w:val="single" w:sz="4" w:space="0" w:color="AAAAAA"/>
            <w:right w:val="none" w:sz="0" w:space="0" w:color="auto"/>
          </w:divBdr>
        </w:div>
        <w:div w:id="1922443480">
          <w:marLeft w:val="0"/>
          <w:marRight w:val="0"/>
          <w:marTop w:val="0"/>
          <w:marBottom w:val="0"/>
          <w:divBdr>
            <w:top w:val="none" w:sz="0" w:space="0" w:color="auto"/>
            <w:left w:val="none" w:sz="0" w:space="0" w:color="auto"/>
            <w:bottom w:val="none" w:sz="0" w:space="0" w:color="auto"/>
            <w:right w:val="none" w:sz="0" w:space="0" w:color="auto"/>
          </w:divBdr>
          <w:divsChild>
            <w:div w:id="1400403178">
              <w:marLeft w:val="0"/>
              <w:marRight w:val="0"/>
              <w:marTop w:val="0"/>
              <w:marBottom w:val="0"/>
              <w:divBdr>
                <w:top w:val="none" w:sz="0" w:space="0" w:color="auto"/>
                <w:left w:val="none" w:sz="0" w:space="0" w:color="auto"/>
                <w:bottom w:val="none" w:sz="0" w:space="0" w:color="auto"/>
                <w:right w:val="none" w:sz="0" w:space="0" w:color="auto"/>
              </w:divBdr>
              <w:divsChild>
                <w:div w:id="22244578">
                  <w:marLeft w:val="0"/>
                  <w:marRight w:val="0"/>
                  <w:marTop w:val="0"/>
                  <w:marBottom w:val="0"/>
                  <w:divBdr>
                    <w:top w:val="none" w:sz="0" w:space="0" w:color="auto"/>
                    <w:left w:val="none" w:sz="0" w:space="0" w:color="auto"/>
                    <w:bottom w:val="none" w:sz="0" w:space="0" w:color="auto"/>
                    <w:right w:val="none" w:sz="0" w:space="0" w:color="auto"/>
                  </w:divBdr>
                  <w:divsChild>
                    <w:div w:id="1744178380">
                      <w:marLeft w:val="0"/>
                      <w:marRight w:val="0"/>
                      <w:marTop w:val="0"/>
                      <w:marBottom w:val="0"/>
                      <w:divBdr>
                        <w:top w:val="none" w:sz="0" w:space="0" w:color="auto"/>
                        <w:left w:val="none" w:sz="0" w:space="0" w:color="auto"/>
                        <w:bottom w:val="none" w:sz="0" w:space="0" w:color="auto"/>
                        <w:right w:val="none" w:sz="0" w:space="0" w:color="auto"/>
                      </w:divBdr>
                    </w:div>
                  </w:divsChild>
                </w:div>
                <w:div w:id="379592117">
                  <w:marLeft w:val="0"/>
                  <w:marRight w:val="0"/>
                  <w:marTop w:val="0"/>
                  <w:marBottom w:val="0"/>
                  <w:divBdr>
                    <w:top w:val="none" w:sz="0" w:space="0" w:color="auto"/>
                    <w:left w:val="none" w:sz="0" w:space="0" w:color="auto"/>
                    <w:bottom w:val="none" w:sz="0" w:space="0" w:color="auto"/>
                    <w:right w:val="none" w:sz="0" w:space="0" w:color="auto"/>
                  </w:divBdr>
                  <w:divsChild>
                    <w:div w:id="1212770479">
                      <w:marLeft w:val="0"/>
                      <w:marRight w:val="0"/>
                      <w:marTop w:val="0"/>
                      <w:marBottom w:val="0"/>
                      <w:divBdr>
                        <w:top w:val="none" w:sz="0" w:space="0" w:color="auto"/>
                        <w:left w:val="none" w:sz="0" w:space="0" w:color="auto"/>
                        <w:bottom w:val="none" w:sz="0" w:space="0" w:color="auto"/>
                        <w:right w:val="none" w:sz="0" w:space="0" w:color="auto"/>
                      </w:divBdr>
                    </w:div>
                  </w:divsChild>
                </w:div>
                <w:div w:id="1522013562">
                  <w:marLeft w:val="0"/>
                  <w:marRight w:val="0"/>
                  <w:marTop w:val="0"/>
                  <w:marBottom w:val="0"/>
                  <w:divBdr>
                    <w:top w:val="none" w:sz="0" w:space="0" w:color="auto"/>
                    <w:left w:val="none" w:sz="0" w:space="0" w:color="auto"/>
                    <w:bottom w:val="none" w:sz="0" w:space="0" w:color="auto"/>
                    <w:right w:val="none" w:sz="0" w:space="0" w:color="auto"/>
                  </w:divBdr>
                  <w:divsChild>
                    <w:div w:id="907761142">
                      <w:marLeft w:val="0"/>
                      <w:marRight w:val="0"/>
                      <w:marTop w:val="0"/>
                      <w:marBottom w:val="0"/>
                      <w:divBdr>
                        <w:top w:val="none" w:sz="0" w:space="0" w:color="auto"/>
                        <w:left w:val="none" w:sz="0" w:space="0" w:color="auto"/>
                        <w:bottom w:val="none" w:sz="0" w:space="0" w:color="auto"/>
                        <w:right w:val="none" w:sz="0" w:space="0" w:color="auto"/>
                      </w:divBdr>
                    </w:div>
                  </w:divsChild>
                </w:div>
                <w:div w:id="1802573043">
                  <w:marLeft w:val="0"/>
                  <w:marRight w:val="0"/>
                  <w:marTop w:val="0"/>
                  <w:marBottom w:val="0"/>
                  <w:divBdr>
                    <w:top w:val="none" w:sz="0" w:space="0" w:color="auto"/>
                    <w:left w:val="none" w:sz="0" w:space="0" w:color="auto"/>
                    <w:bottom w:val="none" w:sz="0" w:space="0" w:color="auto"/>
                    <w:right w:val="none" w:sz="0" w:space="0" w:color="auto"/>
                  </w:divBdr>
                  <w:divsChild>
                    <w:div w:id="1783647300">
                      <w:marLeft w:val="0"/>
                      <w:marRight w:val="0"/>
                      <w:marTop w:val="0"/>
                      <w:marBottom w:val="0"/>
                      <w:divBdr>
                        <w:top w:val="none" w:sz="0" w:space="0" w:color="auto"/>
                        <w:left w:val="none" w:sz="0" w:space="0" w:color="auto"/>
                        <w:bottom w:val="none" w:sz="0" w:space="0" w:color="auto"/>
                        <w:right w:val="none" w:sz="0" w:space="0" w:color="auto"/>
                      </w:divBdr>
                    </w:div>
                  </w:divsChild>
                </w:div>
                <w:div w:id="1439640101">
                  <w:marLeft w:val="0"/>
                  <w:marRight w:val="0"/>
                  <w:marTop w:val="0"/>
                  <w:marBottom w:val="0"/>
                  <w:divBdr>
                    <w:top w:val="none" w:sz="0" w:space="0" w:color="auto"/>
                    <w:left w:val="none" w:sz="0" w:space="0" w:color="auto"/>
                    <w:bottom w:val="none" w:sz="0" w:space="0" w:color="auto"/>
                    <w:right w:val="none" w:sz="0" w:space="0" w:color="auto"/>
                  </w:divBdr>
                  <w:divsChild>
                    <w:div w:id="1021399952">
                      <w:marLeft w:val="0"/>
                      <w:marRight w:val="0"/>
                      <w:marTop w:val="0"/>
                      <w:marBottom w:val="0"/>
                      <w:divBdr>
                        <w:top w:val="none" w:sz="0" w:space="0" w:color="auto"/>
                        <w:left w:val="none" w:sz="0" w:space="0" w:color="auto"/>
                        <w:bottom w:val="none" w:sz="0" w:space="0" w:color="auto"/>
                        <w:right w:val="none" w:sz="0" w:space="0" w:color="auto"/>
                      </w:divBdr>
                    </w:div>
                  </w:divsChild>
                </w:div>
                <w:div w:id="917514889">
                  <w:marLeft w:val="0"/>
                  <w:marRight w:val="0"/>
                  <w:marTop w:val="0"/>
                  <w:marBottom w:val="0"/>
                  <w:divBdr>
                    <w:top w:val="none" w:sz="0" w:space="0" w:color="auto"/>
                    <w:left w:val="none" w:sz="0" w:space="0" w:color="auto"/>
                    <w:bottom w:val="none" w:sz="0" w:space="0" w:color="auto"/>
                    <w:right w:val="none" w:sz="0" w:space="0" w:color="auto"/>
                  </w:divBdr>
                  <w:divsChild>
                    <w:div w:id="1504856851">
                      <w:marLeft w:val="0"/>
                      <w:marRight w:val="0"/>
                      <w:marTop w:val="0"/>
                      <w:marBottom w:val="0"/>
                      <w:divBdr>
                        <w:top w:val="none" w:sz="0" w:space="0" w:color="auto"/>
                        <w:left w:val="none" w:sz="0" w:space="0" w:color="auto"/>
                        <w:bottom w:val="none" w:sz="0" w:space="0" w:color="auto"/>
                        <w:right w:val="none" w:sz="0" w:space="0" w:color="auto"/>
                      </w:divBdr>
                    </w:div>
                  </w:divsChild>
                </w:div>
                <w:div w:id="919950060">
                  <w:marLeft w:val="0"/>
                  <w:marRight w:val="0"/>
                  <w:marTop w:val="0"/>
                  <w:marBottom w:val="0"/>
                  <w:divBdr>
                    <w:top w:val="none" w:sz="0" w:space="0" w:color="auto"/>
                    <w:left w:val="none" w:sz="0" w:space="0" w:color="auto"/>
                    <w:bottom w:val="none" w:sz="0" w:space="0" w:color="auto"/>
                    <w:right w:val="none" w:sz="0" w:space="0" w:color="auto"/>
                  </w:divBdr>
                  <w:divsChild>
                    <w:div w:id="17055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1795">
          <w:marLeft w:val="0"/>
          <w:marRight w:val="0"/>
          <w:marTop w:val="0"/>
          <w:marBottom w:val="0"/>
          <w:divBdr>
            <w:top w:val="none" w:sz="0" w:space="0" w:color="auto"/>
            <w:left w:val="none" w:sz="0" w:space="0" w:color="auto"/>
            <w:bottom w:val="none" w:sz="0" w:space="0" w:color="auto"/>
            <w:right w:val="none" w:sz="0" w:space="0" w:color="auto"/>
          </w:divBdr>
          <w:divsChild>
            <w:div w:id="817454563">
              <w:marLeft w:val="0"/>
              <w:marRight w:val="0"/>
              <w:marTop w:val="0"/>
              <w:marBottom w:val="0"/>
              <w:divBdr>
                <w:top w:val="none" w:sz="0" w:space="0" w:color="auto"/>
                <w:left w:val="none" w:sz="0" w:space="0" w:color="auto"/>
                <w:bottom w:val="none" w:sz="0" w:space="0" w:color="auto"/>
                <w:right w:val="none" w:sz="0" w:space="0" w:color="auto"/>
              </w:divBdr>
              <w:divsChild>
                <w:div w:id="1000694298">
                  <w:marLeft w:val="0"/>
                  <w:marRight w:val="0"/>
                  <w:marTop w:val="0"/>
                  <w:marBottom w:val="0"/>
                  <w:divBdr>
                    <w:top w:val="none" w:sz="0" w:space="0" w:color="auto"/>
                    <w:left w:val="none" w:sz="0" w:space="0" w:color="auto"/>
                    <w:bottom w:val="none" w:sz="0" w:space="0" w:color="auto"/>
                    <w:right w:val="none" w:sz="0" w:space="0" w:color="auto"/>
                  </w:divBdr>
                  <w:divsChild>
                    <w:div w:id="893584082">
                      <w:marLeft w:val="0"/>
                      <w:marRight w:val="0"/>
                      <w:marTop w:val="0"/>
                      <w:marBottom w:val="240"/>
                      <w:divBdr>
                        <w:top w:val="none" w:sz="0" w:space="0" w:color="auto"/>
                        <w:left w:val="none" w:sz="0" w:space="0" w:color="auto"/>
                        <w:bottom w:val="none" w:sz="0" w:space="0" w:color="auto"/>
                        <w:right w:val="none" w:sz="0" w:space="0" w:color="auto"/>
                      </w:divBdr>
                      <w:divsChild>
                        <w:div w:id="1715274066">
                          <w:marLeft w:val="0"/>
                          <w:marRight w:val="0"/>
                          <w:marTop w:val="0"/>
                          <w:marBottom w:val="0"/>
                          <w:divBdr>
                            <w:top w:val="none" w:sz="0" w:space="0" w:color="auto"/>
                            <w:left w:val="none" w:sz="0" w:space="0" w:color="auto"/>
                            <w:bottom w:val="none" w:sz="0" w:space="0" w:color="auto"/>
                            <w:right w:val="none" w:sz="0" w:space="0" w:color="auto"/>
                          </w:divBdr>
                          <w:divsChild>
                            <w:div w:id="2129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780">
          <w:marLeft w:val="0"/>
          <w:marRight w:val="0"/>
          <w:marTop w:val="0"/>
          <w:marBottom w:val="0"/>
          <w:divBdr>
            <w:top w:val="none" w:sz="0" w:space="0" w:color="auto"/>
            <w:left w:val="none" w:sz="0" w:space="0" w:color="auto"/>
            <w:bottom w:val="none" w:sz="0" w:space="0" w:color="auto"/>
            <w:right w:val="none" w:sz="0" w:space="0" w:color="auto"/>
          </w:divBdr>
        </w:div>
      </w:divsChild>
    </w:div>
    <w:div w:id="1009988975">
      <w:bodyDiv w:val="1"/>
      <w:marLeft w:val="0"/>
      <w:marRight w:val="0"/>
      <w:marTop w:val="0"/>
      <w:marBottom w:val="0"/>
      <w:divBdr>
        <w:top w:val="none" w:sz="0" w:space="0" w:color="auto"/>
        <w:left w:val="none" w:sz="0" w:space="0" w:color="auto"/>
        <w:bottom w:val="none" w:sz="0" w:space="0" w:color="auto"/>
        <w:right w:val="none" w:sz="0" w:space="0" w:color="auto"/>
      </w:divBdr>
    </w:div>
    <w:div w:id="1237323372">
      <w:bodyDiv w:val="1"/>
      <w:marLeft w:val="0"/>
      <w:marRight w:val="0"/>
      <w:marTop w:val="0"/>
      <w:marBottom w:val="0"/>
      <w:divBdr>
        <w:top w:val="none" w:sz="0" w:space="0" w:color="auto"/>
        <w:left w:val="none" w:sz="0" w:space="0" w:color="auto"/>
        <w:bottom w:val="none" w:sz="0" w:space="0" w:color="auto"/>
        <w:right w:val="none" w:sz="0" w:space="0" w:color="auto"/>
      </w:divBdr>
    </w:div>
    <w:div w:id="1360662784">
      <w:bodyDiv w:val="1"/>
      <w:marLeft w:val="0"/>
      <w:marRight w:val="0"/>
      <w:marTop w:val="0"/>
      <w:marBottom w:val="0"/>
      <w:divBdr>
        <w:top w:val="none" w:sz="0" w:space="0" w:color="auto"/>
        <w:left w:val="none" w:sz="0" w:space="0" w:color="auto"/>
        <w:bottom w:val="none" w:sz="0" w:space="0" w:color="auto"/>
        <w:right w:val="none" w:sz="0" w:space="0" w:color="auto"/>
      </w:divBdr>
    </w:div>
    <w:div w:id="14034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Feuille_Microsoft_Office_Excel1.xlsx"/><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Feuille_Microsoft_Office_Excel2.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7448-C0F5-493D-A900-1B005FEB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1034</Words>
  <Characters>5691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2020-05-26T14:36:00Z</dcterms:created>
  <dcterms:modified xsi:type="dcterms:W3CDTF">2020-05-26T14:36:00Z</dcterms:modified>
</cp:coreProperties>
</file>